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5298" w:rsidRPr="00245298" w:rsidRDefault="00245298" w:rsidP="00DE783E">
      <w:pPr>
        <w:numPr>
          <w:ilvl w:val="0"/>
          <w:numId w:val="1"/>
        </w:numPr>
        <w:spacing w:after="0" w:line="276" w:lineRule="auto"/>
        <w:jc w:val="both"/>
        <w:rPr>
          <w:b/>
          <w:bCs/>
          <w:lang w:bidi="cs-CZ"/>
        </w:rPr>
      </w:pPr>
      <w:bookmarkStart w:id="0" w:name="bookmark1"/>
      <w:r w:rsidRPr="00245298">
        <w:rPr>
          <w:b/>
          <w:bCs/>
          <w:lang w:bidi="cs-CZ"/>
        </w:rPr>
        <w:t>URČENÍ VÝROBKU</w:t>
      </w:r>
      <w:bookmarkEnd w:id="0"/>
    </w:p>
    <w:p w:rsidR="00245298" w:rsidRDefault="00245298" w:rsidP="00DE783E">
      <w:pPr>
        <w:spacing w:after="0" w:line="276" w:lineRule="auto"/>
        <w:jc w:val="both"/>
        <w:rPr>
          <w:b/>
          <w:bCs/>
          <w:lang w:bidi="cs-CZ"/>
        </w:rPr>
      </w:pPr>
    </w:p>
    <w:p w:rsidR="00245298" w:rsidRPr="00245298" w:rsidRDefault="00C12C41" w:rsidP="00DE783E">
      <w:pPr>
        <w:spacing w:after="0" w:line="276" w:lineRule="auto"/>
        <w:jc w:val="both"/>
        <w:rPr>
          <w:lang w:bidi="cs-CZ"/>
        </w:rPr>
      </w:pPr>
      <w:r>
        <w:rPr>
          <w:b/>
          <w:bCs/>
          <w:lang w:bidi="cs-CZ"/>
        </w:rPr>
        <w:t>Kalhoty</w:t>
      </w:r>
      <w:r w:rsidR="00245298" w:rsidRPr="00245298">
        <w:rPr>
          <w:b/>
          <w:bCs/>
          <w:lang w:bidi="cs-CZ"/>
        </w:rPr>
        <w:t xml:space="preserve"> stejnokrojové </w:t>
      </w:r>
      <w:r w:rsidR="00877163">
        <w:rPr>
          <w:b/>
          <w:bCs/>
          <w:lang w:bidi="cs-CZ"/>
        </w:rPr>
        <w:t>pánské</w:t>
      </w:r>
      <w:r w:rsidR="00245298" w:rsidRPr="00245298">
        <w:rPr>
          <w:b/>
          <w:bCs/>
          <w:lang w:bidi="cs-CZ"/>
        </w:rPr>
        <w:t xml:space="preserve"> </w:t>
      </w:r>
      <w:r w:rsidR="002D62B2" w:rsidRPr="005A270F">
        <w:rPr>
          <w:lang w:bidi="cs-CZ"/>
        </w:rPr>
        <w:t>(dále jen kalhoty)</w:t>
      </w:r>
      <w:r w:rsidR="002D62B2">
        <w:rPr>
          <w:b/>
          <w:bCs/>
          <w:lang w:bidi="cs-CZ"/>
        </w:rPr>
        <w:t xml:space="preserve"> </w:t>
      </w:r>
      <w:r w:rsidR="002D62B2">
        <w:rPr>
          <w:lang w:bidi="cs-CZ"/>
        </w:rPr>
        <w:t>jsou celoroční oděvní součástkou pro dolní část těla stejnokroje</w:t>
      </w:r>
      <w:r w:rsidR="002D62B2" w:rsidRPr="00245298">
        <w:rPr>
          <w:lang w:bidi="cs-CZ"/>
        </w:rPr>
        <w:t xml:space="preserve"> Správ</w:t>
      </w:r>
      <w:r w:rsidR="002D62B2">
        <w:rPr>
          <w:lang w:bidi="cs-CZ"/>
        </w:rPr>
        <w:t>y</w:t>
      </w:r>
      <w:r w:rsidR="002D62B2" w:rsidRPr="00245298">
        <w:rPr>
          <w:lang w:bidi="cs-CZ"/>
        </w:rPr>
        <w:t xml:space="preserve"> železniční do</w:t>
      </w:r>
      <w:r w:rsidR="002D62B2">
        <w:rPr>
          <w:lang w:bidi="cs-CZ"/>
        </w:rPr>
        <w:t>pravní cesty (dále jen SŽDC) pro muže.</w:t>
      </w:r>
    </w:p>
    <w:p w:rsidR="00245298" w:rsidRPr="00245298" w:rsidRDefault="00245298" w:rsidP="00DE783E">
      <w:pPr>
        <w:spacing w:after="0" w:line="276" w:lineRule="auto"/>
        <w:jc w:val="both"/>
        <w:rPr>
          <w:lang w:bidi="cs-CZ"/>
        </w:rPr>
      </w:pPr>
    </w:p>
    <w:p w:rsidR="00245298" w:rsidRPr="00245298" w:rsidRDefault="00245298" w:rsidP="00DE783E">
      <w:pPr>
        <w:numPr>
          <w:ilvl w:val="0"/>
          <w:numId w:val="1"/>
        </w:numPr>
        <w:spacing w:after="0" w:line="276" w:lineRule="auto"/>
        <w:jc w:val="both"/>
        <w:rPr>
          <w:b/>
          <w:bCs/>
          <w:lang w:bidi="cs-CZ"/>
        </w:rPr>
      </w:pPr>
      <w:bookmarkStart w:id="1" w:name="bookmark2"/>
      <w:r w:rsidRPr="00245298">
        <w:rPr>
          <w:b/>
          <w:bCs/>
          <w:lang w:bidi="cs-CZ"/>
        </w:rPr>
        <w:t>TECHNICKÝ POPIS</w:t>
      </w:r>
      <w:bookmarkEnd w:id="1"/>
    </w:p>
    <w:p w:rsidR="00DE783E" w:rsidRDefault="00DE783E" w:rsidP="00DE783E">
      <w:pPr>
        <w:spacing w:after="0" w:line="276" w:lineRule="auto"/>
        <w:jc w:val="both"/>
        <w:rPr>
          <w:lang w:bidi="cs-CZ"/>
        </w:rPr>
      </w:pPr>
    </w:p>
    <w:p w:rsidR="00877163" w:rsidRPr="00877163" w:rsidRDefault="002D62B2" w:rsidP="00877163">
      <w:pPr>
        <w:spacing w:after="0" w:line="276" w:lineRule="auto"/>
        <w:jc w:val="both"/>
        <w:rPr>
          <w:lang w:bidi="cs-CZ"/>
        </w:rPr>
      </w:pPr>
      <w:r w:rsidRPr="00C12C41">
        <w:rPr>
          <w:lang w:bidi="cs-CZ"/>
        </w:rPr>
        <w:t xml:space="preserve">Kalhoty </w:t>
      </w:r>
      <w:r>
        <w:rPr>
          <w:lang w:bidi="cs-CZ"/>
        </w:rPr>
        <w:t>mají přední díly podšité kolenovou podšívkou</w:t>
      </w:r>
      <w:r w:rsidRPr="00C12C41">
        <w:rPr>
          <w:lang w:bidi="cs-CZ"/>
        </w:rPr>
        <w:t>. Přední díl</w:t>
      </w:r>
      <w:r>
        <w:rPr>
          <w:lang w:bidi="cs-CZ"/>
        </w:rPr>
        <w:t>y</w:t>
      </w:r>
      <w:r w:rsidRPr="00C12C41">
        <w:rPr>
          <w:lang w:bidi="cs-CZ"/>
        </w:rPr>
        <w:t xml:space="preserve"> hladk</w:t>
      </w:r>
      <w:r>
        <w:rPr>
          <w:lang w:bidi="cs-CZ"/>
        </w:rPr>
        <w:t>é</w:t>
      </w:r>
      <w:r w:rsidRPr="00C12C41">
        <w:rPr>
          <w:lang w:bidi="cs-CZ"/>
        </w:rPr>
        <w:t xml:space="preserve"> bez záševku, s bočními klínovými kapsami, rozparek zapínaný na zdrhovadlo. </w:t>
      </w:r>
      <w:r w:rsidR="00877163" w:rsidRPr="00877163">
        <w:rPr>
          <w:lang w:bidi="cs-CZ"/>
        </w:rPr>
        <w:t>Zadní díl</w:t>
      </w:r>
      <w:r>
        <w:rPr>
          <w:lang w:bidi="cs-CZ"/>
        </w:rPr>
        <w:t>y</w:t>
      </w:r>
      <w:r w:rsidR="00877163" w:rsidRPr="00877163">
        <w:rPr>
          <w:lang w:bidi="cs-CZ"/>
        </w:rPr>
        <w:t xml:space="preserve"> se záševkem a dvouvýpustko</w:t>
      </w:r>
      <w:r>
        <w:rPr>
          <w:lang w:bidi="cs-CZ"/>
        </w:rPr>
        <w:t>vými</w:t>
      </w:r>
      <w:r w:rsidR="00877163" w:rsidRPr="00877163">
        <w:rPr>
          <w:lang w:bidi="cs-CZ"/>
        </w:rPr>
        <w:t xml:space="preserve"> kaps</w:t>
      </w:r>
      <w:r>
        <w:rPr>
          <w:lang w:bidi="cs-CZ"/>
        </w:rPr>
        <w:t>ami</w:t>
      </w:r>
      <w:r w:rsidR="00877163" w:rsidRPr="00877163">
        <w:rPr>
          <w:lang w:bidi="cs-CZ"/>
        </w:rPr>
        <w:t xml:space="preserve">. Pasový límec regulovaný pomocí „autospony“, </w:t>
      </w:r>
      <w:r>
        <w:rPr>
          <w:lang w:bidi="cs-CZ"/>
        </w:rPr>
        <w:t xml:space="preserve">v přední části </w:t>
      </w:r>
      <w:r w:rsidRPr="00C12C41">
        <w:rPr>
          <w:lang w:bidi="cs-CZ"/>
        </w:rPr>
        <w:t>zapínaný na knoflík a dírku.</w:t>
      </w:r>
      <w:r w:rsidRPr="00472297">
        <w:rPr>
          <w:lang w:bidi="cs-CZ"/>
        </w:rPr>
        <w:t xml:space="preserve"> </w:t>
      </w:r>
      <w:r w:rsidRPr="00C12C41">
        <w:rPr>
          <w:lang w:bidi="cs-CZ"/>
        </w:rPr>
        <w:t xml:space="preserve">Kalhoty </w:t>
      </w:r>
      <w:r>
        <w:rPr>
          <w:lang w:bidi="cs-CZ"/>
        </w:rPr>
        <w:t>se zažehlenými přehyby.</w:t>
      </w:r>
    </w:p>
    <w:p w:rsidR="00877163" w:rsidRPr="00877163" w:rsidRDefault="00877163" w:rsidP="00877163">
      <w:pPr>
        <w:spacing w:after="0" w:line="276" w:lineRule="auto"/>
        <w:jc w:val="both"/>
        <w:rPr>
          <w:b/>
          <w:lang w:bidi="cs-CZ"/>
        </w:rPr>
      </w:pPr>
    </w:p>
    <w:p w:rsidR="00877163" w:rsidRPr="00877163" w:rsidRDefault="00877163" w:rsidP="00877163">
      <w:pPr>
        <w:spacing w:after="0" w:line="276" w:lineRule="auto"/>
        <w:jc w:val="both"/>
        <w:rPr>
          <w:lang w:bidi="cs-CZ"/>
        </w:rPr>
      </w:pPr>
      <w:r w:rsidRPr="00877163">
        <w:rPr>
          <w:b/>
          <w:lang w:bidi="cs-CZ"/>
        </w:rPr>
        <w:t>Přední díl:</w:t>
      </w:r>
      <w:r w:rsidRPr="00877163">
        <w:rPr>
          <w:lang w:bidi="cs-CZ"/>
        </w:rPr>
        <w:t xml:space="preserve"> </w:t>
      </w:r>
    </w:p>
    <w:p w:rsidR="002D62B2" w:rsidRPr="00C12C41" w:rsidRDefault="002D62B2" w:rsidP="002D62B2">
      <w:pPr>
        <w:spacing w:after="0" w:line="276" w:lineRule="auto"/>
        <w:jc w:val="both"/>
        <w:rPr>
          <w:lang w:bidi="cs-CZ"/>
        </w:rPr>
      </w:pPr>
      <w:r w:rsidRPr="00C12C41">
        <w:rPr>
          <w:lang w:bidi="cs-CZ"/>
        </w:rPr>
        <w:t>Hladk</w:t>
      </w:r>
      <w:r>
        <w:rPr>
          <w:lang w:bidi="cs-CZ"/>
        </w:rPr>
        <w:t>é</w:t>
      </w:r>
      <w:r w:rsidRPr="00C12C41">
        <w:rPr>
          <w:lang w:bidi="cs-CZ"/>
        </w:rPr>
        <w:t xml:space="preserve"> bez záševku,</w:t>
      </w:r>
      <w:r>
        <w:rPr>
          <w:lang w:bidi="cs-CZ"/>
        </w:rPr>
        <w:t xml:space="preserve"> podložené do hloubky kolen podšívkou a současně obnitkovány</w:t>
      </w:r>
      <w:r w:rsidRPr="00C12C41">
        <w:rPr>
          <w:lang w:bidi="cs-CZ"/>
        </w:rPr>
        <w:t>.</w:t>
      </w:r>
      <w:r w:rsidRPr="00472297">
        <w:rPr>
          <w:lang w:bidi="cs-CZ"/>
        </w:rPr>
        <w:t xml:space="preserve"> </w:t>
      </w:r>
      <w:r>
        <w:rPr>
          <w:lang w:bidi="cs-CZ"/>
        </w:rPr>
        <w:t>Středem předních dílu jsou</w:t>
      </w:r>
      <w:r w:rsidRPr="00C12C41">
        <w:rPr>
          <w:lang w:bidi="cs-CZ"/>
        </w:rPr>
        <w:t xml:space="preserve"> zažehlen</w:t>
      </w:r>
      <w:r>
        <w:rPr>
          <w:lang w:bidi="cs-CZ"/>
        </w:rPr>
        <w:t>é</w:t>
      </w:r>
      <w:r w:rsidRPr="00C12C41">
        <w:rPr>
          <w:lang w:bidi="cs-CZ"/>
        </w:rPr>
        <w:t xml:space="preserve"> </w:t>
      </w:r>
      <w:r>
        <w:rPr>
          <w:lang w:bidi="cs-CZ"/>
        </w:rPr>
        <w:t>přehyby.</w:t>
      </w:r>
    </w:p>
    <w:p w:rsidR="00877163" w:rsidRPr="00877163" w:rsidRDefault="00877163" w:rsidP="00877163">
      <w:pPr>
        <w:spacing w:after="0" w:line="276" w:lineRule="auto"/>
        <w:jc w:val="both"/>
        <w:rPr>
          <w:lang w:bidi="cs-CZ"/>
        </w:rPr>
      </w:pPr>
    </w:p>
    <w:p w:rsidR="00877163" w:rsidRDefault="00877163" w:rsidP="00877163">
      <w:pPr>
        <w:spacing w:after="0" w:line="276" w:lineRule="auto"/>
        <w:jc w:val="both"/>
        <w:rPr>
          <w:b/>
          <w:lang w:bidi="cs-CZ"/>
        </w:rPr>
      </w:pPr>
      <w:r w:rsidRPr="00877163">
        <w:rPr>
          <w:b/>
          <w:lang w:bidi="cs-CZ"/>
        </w:rPr>
        <w:t>Boční kapsy:</w:t>
      </w:r>
    </w:p>
    <w:p w:rsidR="002D62B2" w:rsidRPr="00C12C41" w:rsidRDefault="002D62B2" w:rsidP="002D62B2">
      <w:pPr>
        <w:spacing w:after="0" w:line="276" w:lineRule="auto"/>
        <w:jc w:val="both"/>
        <w:rPr>
          <w:lang w:bidi="cs-CZ"/>
        </w:rPr>
      </w:pPr>
      <w:r>
        <w:rPr>
          <w:lang w:bidi="cs-CZ"/>
        </w:rPr>
        <w:t>Klínové, v</w:t>
      </w:r>
      <w:r w:rsidRPr="00C12C41">
        <w:rPr>
          <w:lang w:bidi="cs-CZ"/>
        </w:rPr>
        <w:t> ukončení kap</w:t>
      </w:r>
      <w:r>
        <w:rPr>
          <w:lang w:bidi="cs-CZ"/>
        </w:rPr>
        <w:t>es</w:t>
      </w:r>
      <w:r w:rsidRPr="00C12C41">
        <w:rPr>
          <w:lang w:bidi="cs-CZ"/>
        </w:rPr>
        <w:t xml:space="preserve"> </w:t>
      </w:r>
      <w:r>
        <w:rPr>
          <w:lang w:bidi="cs-CZ"/>
        </w:rPr>
        <w:t>zhotovené uzávěrky na závorovacím šicím stroji. Délka hotového průhmatu 17,5 c</w:t>
      </w:r>
      <w:r w:rsidRPr="00C12C41">
        <w:rPr>
          <w:lang w:bidi="cs-CZ"/>
        </w:rPr>
        <w:t xml:space="preserve">m, </w:t>
      </w:r>
      <w:r>
        <w:rPr>
          <w:lang w:bidi="cs-CZ"/>
        </w:rPr>
        <w:t xml:space="preserve">průhmat kapes je </w:t>
      </w:r>
      <w:r w:rsidRPr="00C12C41">
        <w:rPr>
          <w:lang w:bidi="cs-CZ"/>
        </w:rPr>
        <w:t>prošitý</w:t>
      </w:r>
      <w:r>
        <w:rPr>
          <w:lang w:bidi="cs-CZ"/>
        </w:rPr>
        <w:t xml:space="preserve"> za</w:t>
      </w:r>
      <w:r w:rsidRPr="00C12C41">
        <w:rPr>
          <w:lang w:bidi="cs-CZ"/>
        </w:rPr>
        <w:t xml:space="preserve"> 5</w:t>
      </w:r>
      <w:r>
        <w:rPr>
          <w:lang w:bidi="cs-CZ"/>
        </w:rPr>
        <w:t xml:space="preserve"> </w:t>
      </w:r>
      <w:r w:rsidRPr="00C12C41">
        <w:rPr>
          <w:lang w:bidi="cs-CZ"/>
        </w:rPr>
        <w:t>m</w:t>
      </w:r>
      <w:r>
        <w:rPr>
          <w:lang w:bidi="cs-CZ"/>
        </w:rPr>
        <w:t>m. Kapesní váč</w:t>
      </w:r>
      <w:r w:rsidRPr="00C12C41">
        <w:rPr>
          <w:lang w:bidi="cs-CZ"/>
        </w:rPr>
        <w:t>k</w:t>
      </w:r>
      <w:r>
        <w:rPr>
          <w:lang w:bidi="cs-CZ"/>
        </w:rPr>
        <w:t>y z kapsoviny</w:t>
      </w:r>
      <w:r w:rsidRPr="00C12C41">
        <w:rPr>
          <w:lang w:bidi="cs-CZ"/>
        </w:rPr>
        <w:t xml:space="preserve"> s</w:t>
      </w:r>
      <w:r>
        <w:rPr>
          <w:lang w:bidi="cs-CZ"/>
        </w:rPr>
        <w:t> </w:t>
      </w:r>
      <w:r w:rsidRPr="00C12C41">
        <w:rPr>
          <w:lang w:bidi="cs-CZ"/>
        </w:rPr>
        <w:t>našit</w:t>
      </w:r>
      <w:r>
        <w:rPr>
          <w:lang w:bidi="cs-CZ"/>
        </w:rPr>
        <w:t>ými podkladovými podsádkami z vrchového materiálu</w:t>
      </w:r>
      <w:r w:rsidRPr="00C12C41">
        <w:rPr>
          <w:lang w:bidi="cs-CZ"/>
        </w:rPr>
        <w:t>, v místě členění pasového límce prostřižen</w:t>
      </w:r>
      <w:r>
        <w:rPr>
          <w:lang w:bidi="cs-CZ"/>
        </w:rPr>
        <w:t>y</w:t>
      </w:r>
      <w:r w:rsidRPr="00C12C41">
        <w:rPr>
          <w:lang w:bidi="cs-CZ"/>
        </w:rPr>
        <w:t xml:space="preserve"> do hloubky 60</w:t>
      </w:r>
      <w:r>
        <w:rPr>
          <w:lang w:bidi="cs-CZ"/>
        </w:rPr>
        <w:t xml:space="preserve"> </w:t>
      </w:r>
      <w:r w:rsidRPr="00C12C41">
        <w:rPr>
          <w:lang w:bidi="cs-CZ"/>
        </w:rPr>
        <w:t>mm, rozstřižení je začištěno olemováním veltonovým proužkem. Rozevření klínov</w:t>
      </w:r>
      <w:r>
        <w:rPr>
          <w:lang w:bidi="cs-CZ"/>
        </w:rPr>
        <w:t>ých</w:t>
      </w:r>
      <w:r w:rsidRPr="00C12C41">
        <w:rPr>
          <w:lang w:bidi="cs-CZ"/>
        </w:rPr>
        <w:t xml:space="preserve"> kap</w:t>
      </w:r>
      <w:r>
        <w:rPr>
          <w:lang w:bidi="cs-CZ"/>
        </w:rPr>
        <w:t>es</w:t>
      </w:r>
      <w:r w:rsidRPr="00C12C41">
        <w:rPr>
          <w:lang w:bidi="cs-CZ"/>
        </w:rPr>
        <w:t xml:space="preserve"> 40</w:t>
      </w:r>
      <w:r>
        <w:rPr>
          <w:lang w:bidi="cs-CZ"/>
        </w:rPr>
        <w:t xml:space="preserve"> </w:t>
      </w:r>
      <w:r w:rsidRPr="00C12C41">
        <w:rPr>
          <w:lang w:bidi="cs-CZ"/>
        </w:rPr>
        <w:t xml:space="preserve">mm </w:t>
      </w:r>
      <w:r w:rsidR="001C0A4C">
        <w:rPr>
          <w:lang w:bidi="cs-CZ"/>
        </w:rPr>
        <w:br/>
      </w:r>
      <w:r w:rsidRPr="00C12C41">
        <w:rPr>
          <w:lang w:bidi="cs-CZ"/>
        </w:rPr>
        <w:t>od bočního švu.</w:t>
      </w:r>
    </w:p>
    <w:p w:rsidR="00877163" w:rsidRPr="00877163" w:rsidRDefault="00877163" w:rsidP="00877163">
      <w:pPr>
        <w:spacing w:after="0" w:line="276" w:lineRule="auto"/>
        <w:jc w:val="both"/>
        <w:rPr>
          <w:b/>
          <w:lang w:bidi="cs-CZ"/>
        </w:rPr>
      </w:pPr>
    </w:p>
    <w:p w:rsidR="00877163" w:rsidRDefault="00877163" w:rsidP="00877163">
      <w:pPr>
        <w:spacing w:after="0" w:line="276" w:lineRule="auto"/>
        <w:jc w:val="both"/>
        <w:rPr>
          <w:b/>
          <w:lang w:bidi="cs-CZ"/>
        </w:rPr>
      </w:pPr>
      <w:r w:rsidRPr="00877163">
        <w:rPr>
          <w:b/>
          <w:lang w:bidi="cs-CZ"/>
        </w:rPr>
        <w:t>Rozparek:</w:t>
      </w:r>
    </w:p>
    <w:p w:rsidR="00877163" w:rsidRDefault="00BA1E13" w:rsidP="00877163">
      <w:pPr>
        <w:spacing w:after="0" w:line="276" w:lineRule="auto"/>
        <w:jc w:val="both"/>
        <w:rPr>
          <w:lang w:bidi="cs-CZ"/>
        </w:rPr>
      </w:pPr>
      <w:r w:rsidRPr="00C12C41">
        <w:rPr>
          <w:lang w:bidi="cs-CZ"/>
        </w:rPr>
        <w:t xml:space="preserve">Zapínaný na spirálové zdrhovadlo s kovovým jezdcem, prošitý </w:t>
      </w:r>
      <w:proofErr w:type="gramStart"/>
      <w:r w:rsidRPr="00C12C41">
        <w:rPr>
          <w:lang w:bidi="cs-CZ"/>
        </w:rPr>
        <w:t>30mm</w:t>
      </w:r>
      <w:proofErr w:type="gramEnd"/>
      <w:r w:rsidRPr="00C12C41">
        <w:rPr>
          <w:lang w:bidi="cs-CZ"/>
        </w:rPr>
        <w:t>.</w:t>
      </w:r>
      <w:r>
        <w:rPr>
          <w:lang w:bidi="cs-CZ"/>
        </w:rPr>
        <w:t xml:space="preserve"> </w:t>
      </w:r>
      <w:r w:rsidRPr="00C12C41">
        <w:rPr>
          <w:lang w:bidi="cs-CZ"/>
        </w:rPr>
        <w:t>V ukončení rozparku</w:t>
      </w:r>
      <w:r>
        <w:rPr>
          <w:lang w:bidi="cs-CZ"/>
        </w:rPr>
        <w:t xml:space="preserve"> z lícní strany a z vnitřní strany</w:t>
      </w:r>
      <w:r w:rsidRPr="00C12C41">
        <w:rPr>
          <w:lang w:bidi="cs-CZ"/>
        </w:rPr>
        <w:t xml:space="preserve"> je zhotovená svislá uzávěrka</w:t>
      </w:r>
      <w:r>
        <w:rPr>
          <w:lang w:bidi="cs-CZ"/>
        </w:rPr>
        <w:t xml:space="preserve"> na závorovacím šicím stroji</w:t>
      </w:r>
      <w:r w:rsidRPr="00C12C41">
        <w:rPr>
          <w:lang w:bidi="cs-CZ"/>
        </w:rPr>
        <w:t>.</w:t>
      </w:r>
      <w:r>
        <w:rPr>
          <w:lang w:bidi="cs-CZ"/>
        </w:rPr>
        <w:t xml:space="preserve"> Nákrytová strana</w:t>
      </w:r>
      <w:r w:rsidRPr="00C12C41">
        <w:rPr>
          <w:lang w:bidi="cs-CZ"/>
        </w:rPr>
        <w:t xml:space="preserve"> rozparku předšit</w:t>
      </w:r>
      <w:r>
        <w:rPr>
          <w:lang w:bidi="cs-CZ"/>
        </w:rPr>
        <w:t>á</w:t>
      </w:r>
      <w:r w:rsidRPr="00C12C41">
        <w:rPr>
          <w:lang w:bidi="cs-CZ"/>
        </w:rPr>
        <w:t xml:space="preserve"> lištou</w:t>
      </w:r>
      <w:r>
        <w:rPr>
          <w:lang w:bidi="cs-CZ"/>
        </w:rPr>
        <w:t xml:space="preserve"> z vrchového materiálu,</w:t>
      </w:r>
      <w:r w:rsidRPr="00C12C41">
        <w:rPr>
          <w:lang w:bidi="cs-CZ"/>
        </w:rPr>
        <w:t xml:space="preserve"> </w:t>
      </w:r>
      <w:r>
        <w:rPr>
          <w:lang w:bidi="cs-CZ"/>
        </w:rPr>
        <w:t>š</w:t>
      </w:r>
      <w:r w:rsidRPr="00C12C41">
        <w:rPr>
          <w:lang w:bidi="cs-CZ"/>
        </w:rPr>
        <w:t>ev předšit</w:t>
      </w:r>
      <w:r>
        <w:rPr>
          <w:lang w:bidi="cs-CZ"/>
        </w:rPr>
        <w:t>é</w:t>
      </w:r>
      <w:r w:rsidRPr="00C12C41">
        <w:rPr>
          <w:lang w:bidi="cs-CZ"/>
        </w:rPr>
        <w:t xml:space="preserve"> lišty je </w:t>
      </w:r>
      <w:r>
        <w:rPr>
          <w:lang w:bidi="cs-CZ"/>
        </w:rPr>
        <w:t xml:space="preserve">pomocně </w:t>
      </w:r>
      <w:r w:rsidRPr="00C12C41">
        <w:rPr>
          <w:lang w:bidi="cs-CZ"/>
        </w:rPr>
        <w:t xml:space="preserve">prošitý </w:t>
      </w:r>
      <w:proofErr w:type="gramStart"/>
      <w:r w:rsidRPr="00C12C41">
        <w:rPr>
          <w:lang w:bidi="cs-CZ"/>
        </w:rPr>
        <w:t>1mm</w:t>
      </w:r>
      <w:proofErr w:type="gramEnd"/>
      <w:r w:rsidRPr="00C12C41">
        <w:rPr>
          <w:lang w:bidi="cs-CZ"/>
        </w:rPr>
        <w:t xml:space="preserve"> po liště</w:t>
      </w:r>
      <w:r w:rsidR="00D83DC2">
        <w:rPr>
          <w:lang w:bidi="cs-CZ"/>
        </w:rPr>
        <w:t xml:space="preserve">, </w:t>
      </w:r>
      <w:r w:rsidR="00D83DC2" w:rsidRPr="00877163">
        <w:rPr>
          <w:lang w:bidi="cs-CZ"/>
        </w:rPr>
        <w:t>volný okraj lišty nákrytové strany obnitkovaný</w:t>
      </w:r>
      <w:r w:rsidR="00D83DC2">
        <w:rPr>
          <w:lang w:bidi="cs-CZ"/>
        </w:rPr>
        <w:t>.</w:t>
      </w:r>
      <w:r>
        <w:rPr>
          <w:lang w:bidi="cs-CZ"/>
        </w:rPr>
        <w:t xml:space="preserve"> P</w:t>
      </w:r>
      <w:r w:rsidRPr="00C12C41">
        <w:rPr>
          <w:lang w:bidi="cs-CZ"/>
        </w:rPr>
        <w:t>odkryt</w:t>
      </w:r>
      <w:r>
        <w:rPr>
          <w:lang w:bidi="cs-CZ"/>
        </w:rPr>
        <w:t>ová strana rozparku zapodšívkovan</w:t>
      </w:r>
      <w:r w:rsidR="00D83DC2">
        <w:rPr>
          <w:lang w:bidi="cs-CZ"/>
        </w:rPr>
        <w:t xml:space="preserve">á kapsovinou, </w:t>
      </w:r>
      <w:r w:rsidR="00D83DC2" w:rsidRPr="00D83DC2">
        <w:rPr>
          <w:lang w:bidi="cs-CZ"/>
        </w:rPr>
        <w:t>konec podšívkového podkrytu začisťuje sedový výkroj předního dílu a je přich</w:t>
      </w:r>
      <w:r w:rsidR="00D83DC2">
        <w:rPr>
          <w:lang w:bidi="cs-CZ"/>
        </w:rPr>
        <w:t>ycen na šev bodovými uzávěrkami.</w:t>
      </w:r>
    </w:p>
    <w:p w:rsidR="00D83DC2" w:rsidRPr="00877163" w:rsidRDefault="00D83DC2" w:rsidP="00877163">
      <w:pPr>
        <w:spacing w:after="0" w:line="276" w:lineRule="auto"/>
        <w:jc w:val="both"/>
        <w:rPr>
          <w:lang w:bidi="cs-CZ"/>
        </w:rPr>
      </w:pPr>
    </w:p>
    <w:p w:rsidR="00877163" w:rsidRDefault="00877163" w:rsidP="00877163">
      <w:pPr>
        <w:spacing w:after="0" w:line="276" w:lineRule="auto"/>
        <w:jc w:val="both"/>
        <w:rPr>
          <w:b/>
          <w:lang w:bidi="cs-CZ"/>
        </w:rPr>
      </w:pPr>
      <w:r w:rsidRPr="00877163">
        <w:rPr>
          <w:b/>
          <w:lang w:bidi="cs-CZ"/>
        </w:rPr>
        <w:t>Zadní díl</w:t>
      </w:r>
      <w:r w:rsidR="00D83DC2">
        <w:rPr>
          <w:b/>
          <w:lang w:bidi="cs-CZ"/>
        </w:rPr>
        <w:t>y</w:t>
      </w:r>
      <w:r w:rsidRPr="00877163">
        <w:rPr>
          <w:b/>
          <w:lang w:bidi="cs-CZ"/>
        </w:rPr>
        <w:t>:</w:t>
      </w:r>
    </w:p>
    <w:p w:rsidR="00D83DC2" w:rsidRDefault="004F3D6D" w:rsidP="00877163">
      <w:pPr>
        <w:spacing w:after="0" w:line="276" w:lineRule="auto"/>
        <w:jc w:val="both"/>
        <w:rPr>
          <w:b/>
          <w:lang w:bidi="cs-CZ"/>
        </w:rPr>
      </w:pPr>
      <w:r>
        <w:rPr>
          <w:lang w:bidi="cs-CZ"/>
        </w:rPr>
        <w:t>Mají odšito po jednom záševku dlouhém 7 c</w:t>
      </w:r>
      <w:r w:rsidRPr="00C12C41">
        <w:rPr>
          <w:lang w:bidi="cs-CZ"/>
        </w:rPr>
        <w:t>m.</w:t>
      </w:r>
      <w:r>
        <w:rPr>
          <w:lang w:bidi="cs-CZ"/>
        </w:rPr>
        <w:t xml:space="preserve"> </w:t>
      </w:r>
      <w:r w:rsidRPr="00C12C41">
        <w:rPr>
          <w:lang w:bidi="cs-CZ"/>
        </w:rPr>
        <w:t xml:space="preserve">Na </w:t>
      </w:r>
      <w:r>
        <w:rPr>
          <w:lang w:bidi="cs-CZ"/>
        </w:rPr>
        <w:t xml:space="preserve">levém i </w:t>
      </w:r>
      <w:r w:rsidRPr="00C12C41">
        <w:rPr>
          <w:lang w:bidi="cs-CZ"/>
        </w:rPr>
        <w:t>pravém zadním díl</w:t>
      </w:r>
      <w:r w:rsidR="006E5AED">
        <w:rPr>
          <w:lang w:bidi="cs-CZ"/>
        </w:rPr>
        <w:t>u</w:t>
      </w:r>
      <w:r w:rsidRPr="00C12C41">
        <w:rPr>
          <w:lang w:bidi="cs-CZ"/>
        </w:rPr>
        <w:t xml:space="preserve"> je </w:t>
      </w:r>
      <w:r>
        <w:rPr>
          <w:lang w:bidi="cs-CZ"/>
        </w:rPr>
        <w:t>po jedné dvou</w:t>
      </w:r>
      <w:r w:rsidRPr="00C12C41">
        <w:rPr>
          <w:lang w:bidi="cs-CZ"/>
        </w:rPr>
        <w:t>výpustkov</w:t>
      </w:r>
      <w:r>
        <w:rPr>
          <w:lang w:bidi="cs-CZ"/>
        </w:rPr>
        <w:t>é</w:t>
      </w:r>
      <w:r w:rsidRPr="00C12C41">
        <w:rPr>
          <w:lang w:bidi="cs-CZ"/>
        </w:rPr>
        <w:t xml:space="preserve"> kaps</w:t>
      </w:r>
      <w:r>
        <w:rPr>
          <w:lang w:bidi="cs-CZ"/>
        </w:rPr>
        <w:t>e</w:t>
      </w:r>
      <w:r w:rsidRPr="00C12C41">
        <w:rPr>
          <w:lang w:bidi="cs-CZ"/>
        </w:rPr>
        <w:t>, zapínan</w:t>
      </w:r>
      <w:r w:rsidR="006E5AED">
        <w:rPr>
          <w:lang w:bidi="cs-CZ"/>
        </w:rPr>
        <w:t>é</w:t>
      </w:r>
      <w:r w:rsidRPr="00C12C41">
        <w:rPr>
          <w:lang w:bidi="cs-CZ"/>
        </w:rPr>
        <w:t xml:space="preserve"> na knoflík a </w:t>
      </w:r>
      <w:r>
        <w:rPr>
          <w:lang w:bidi="cs-CZ"/>
        </w:rPr>
        <w:t>konfekční knoflíkovou dírku</w:t>
      </w:r>
      <w:r w:rsidR="007E5D5C" w:rsidRPr="007E5D5C">
        <w:rPr>
          <w:lang w:bidi="cs-CZ"/>
        </w:rPr>
        <w:t xml:space="preserve"> </w:t>
      </w:r>
      <w:r w:rsidR="007E5D5C">
        <w:rPr>
          <w:lang w:bidi="cs-CZ"/>
        </w:rPr>
        <w:t>vyšitou středem kapsy</w:t>
      </w:r>
      <w:r>
        <w:rPr>
          <w:lang w:bidi="cs-CZ"/>
        </w:rPr>
        <w:t>,</w:t>
      </w:r>
      <w:r w:rsidRPr="00C12C41">
        <w:rPr>
          <w:lang w:bidi="cs-CZ"/>
        </w:rPr>
        <w:t xml:space="preserve"> </w:t>
      </w:r>
      <w:r>
        <w:rPr>
          <w:lang w:bidi="cs-CZ"/>
        </w:rPr>
        <w:t xml:space="preserve">dlouhou 15 cm umístěnou </w:t>
      </w:r>
      <w:r w:rsidR="006E5AED">
        <w:rPr>
          <w:lang w:bidi="cs-CZ"/>
        </w:rPr>
        <w:t xml:space="preserve">rovnoběžně s pasovým švem </w:t>
      </w:r>
      <w:r>
        <w:rPr>
          <w:lang w:bidi="cs-CZ"/>
        </w:rPr>
        <w:t xml:space="preserve">na střed záševku, šíře výpustku </w:t>
      </w:r>
      <w:proofErr w:type="gramStart"/>
      <w:r>
        <w:rPr>
          <w:lang w:bidi="cs-CZ"/>
        </w:rPr>
        <w:t>5mm</w:t>
      </w:r>
      <w:proofErr w:type="gramEnd"/>
      <w:r>
        <w:rPr>
          <w:lang w:bidi="cs-CZ"/>
        </w:rPr>
        <w:t>. Kaps</w:t>
      </w:r>
      <w:r w:rsidR="00901980">
        <w:rPr>
          <w:lang w:bidi="cs-CZ"/>
        </w:rPr>
        <w:t>y</w:t>
      </w:r>
      <w:r>
        <w:rPr>
          <w:lang w:bidi="cs-CZ"/>
        </w:rPr>
        <w:t xml:space="preserve"> j</w:t>
      </w:r>
      <w:r w:rsidR="00901980">
        <w:rPr>
          <w:lang w:bidi="cs-CZ"/>
        </w:rPr>
        <w:t>sou</w:t>
      </w:r>
      <w:r w:rsidRPr="00C12C41">
        <w:rPr>
          <w:lang w:bidi="cs-CZ"/>
        </w:rPr>
        <w:t xml:space="preserve"> prošit</w:t>
      </w:r>
      <w:r w:rsidR="00901980">
        <w:rPr>
          <w:lang w:bidi="cs-CZ"/>
        </w:rPr>
        <w:t>é</w:t>
      </w:r>
      <w:r w:rsidRPr="00C12C41">
        <w:rPr>
          <w:lang w:bidi="cs-CZ"/>
        </w:rPr>
        <w:t xml:space="preserve"> </w:t>
      </w:r>
      <w:proofErr w:type="gramStart"/>
      <w:r w:rsidRPr="00C12C41">
        <w:rPr>
          <w:lang w:bidi="cs-CZ"/>
        </w:rPr>
        <w:t>1mm</w:t>
      </w:r>
      <w:proofErr w:type="gramEnd"/>
      <w:r w:rsidRPr="00C12C41">
        <w:rPr>
          <w:lang w:bidi="cs-CZ"/>
        </w:rPr>
        <w:t xml:space="preserve"> po obvodu. </w:t>
      </w:r>
      <w:r>
        <w:rPr>
          <w:lang w:bidi="cs-CZ"/>
        </w:rPr>
        <w:t>Výpustkov</w:t>
      </w:r>
      <w:r w:rsidR="00901980">
        <w:rPr>
          <w:lang w:bidi="cs-CZ"/>
        </w:rPr>
        <w:t>é</w:t>
      </w:r>
      <w:r>
        <w:rPr>
          <w:lang w:bidi="cs-CZ"/>
        </w:rPr>
        <w:t xml:space="preserve"> a podkladov</w:t>
      </w:r>
      <w:r w:rsidR="00901980">
        <w:rPr>
          <w:lang w:bidi="cs-CZ"/>
        </w:rPr>
        <w:t xml:space="preserve">é </w:t>
      </w:r>
      <w:r>
        <w:rPr>
          <w:lang w:bidi="cs-CZ"/>
        </w:rPr>
        <w:t>podsádk</w:t>
      </w:r>
      <w:r w:rsidR="00901980">
        <w:rPr>
          <w:lang w:bidi="cs-CZ"/>
        </w:rPr>
        <w:t xml:space="preserve">y </w:t>
      </w:r>
      <w:r w:rsidRPr="00C12C41">
        <w:rPr>
          <w:lang w:bidi="cs-CZ"/>
        </w:rPr>
        <w:t>z vrchového materiálu, kapesní váč</w:t>
      </w:r>
      <w:r w:rsidR="00901980">
        <w:rPr>
          <w:lang w:bidi="cs-CZ"/>
        </w:rPr>
        <w:t>ky</w:t>
      </w:r>
      <w:r w:rsidRPr="00C12C41">
        <w:rPr>
          <w:lang w:bidi="cs-CZ"/>
        </w:rPr>
        <w:t xml:space="preserve"> z kapsoviny. </w:t>
      </w:r>
      <w:r>
        <w:rPr>
          <w:lang w:bidi="cs-CZ"/>
        </w:rPr>
        <w:t>Rožky kapes</w:t>
      </w:r>
      <w:r w:rsidRPr="00C12C41">
        <w:rPr>
          <w:lang w:bidi="cs-CZ"/>
        </w:rPr>
        <w:t xml:space="preserve"> jsou zajištěné uzávěrk</w:t>
      </w:r>
      <w:r w:rsidR="007E5D5C">
        <w:rPr>
          <w:lang w:bidi="cs-CZ"/>
        </w:rPr>
        <w:t>ami</w:t>
      </w:r>
      <w:r>
        <w:rPr>
          <w:lang w:bidi="cs-CZ"/>
        </w:rPr>
        <w:t xml:space="preserve"> zhotovenou na závorovacím šicím stroji</w:t>
      </w:r>
      <w:r w:rsidRPr="00C12C41">
        <w:rPr>
          <w:lang w:bidi="cs-CZ"/>
        </w:rPr>
        <w:t xml:space="preserve">. </w:t>
      </w:r>
      <w:r>
        <w:rPr>
          <w:lang w:bidi="cs-CZ"/>
        </w:rPr>
        <w:t>Středem zadních dílu jsou</w:t>
      </w:r>
      <w:r w:rsidRPr="00C12C41">
        <w:rPr>
          <w:lang w:bidi="cs-CZ"/>
        </w:rPr>
        <w:t xml:space="preserve"> zažehlen</w:t>
      </w:r>
      <w:r>
        <w:rPr>
          <w:lang w:bidi="cs-CZ"/>
        </w:rPr>
        <w:t>é</w:t>
      </w:r>
      <w:r w:rsidRPr="00C12C41">
        <w:rPr>
          <w:lang w:bidi="cs-CZ"/>
        </w:rPr>
        <w:t xml:space="preserve"> </w:t>
      </w:r>
      <w:r>
        <w:rPr>
          <w:lang w:bidi="cs-CZ"/>
        </w:rPr>
        <w:t>přehyby.</w:t>
      </w:r>
    </w:p>
    <w:p w:rsidR="00877163" w:rsidRPr="00877163" w:rsidRDefault="00877163" w:rsidP="00877163">
      <w:pPr>
        <w:spacing w:after="0" w:line="276" w:lineRule="auto"/>
        <w:jc w:val="both"/>
        <w:rPr>
          <w:b/>
          <w:lang w:bidi="cs-CZ"/>
        </w:rPr>
      </w:pPr>
    </w:p>
    <w:p w:rsidR="00877163" w:rsidRPr="00877163" w:rsidRDefault="00877163" w:rsidP="00877163">
      <w:pPr>
        <w:spacing w:after="0" w:line="276" w:lineRule="auto"/>
        <w:jc w:val="both"/>
        <w:rPr>
          <w:b/>
          <w:lang w:bidi="cs-CZ"/>
        </w:rPr>
      </w:pPr>
      <w:r w:rsidRPr="00877163">
        <w:rPr>
          <w:b/>
          <w:lang w:bidi="cs-CZ"/>
        </w:rPr>
        <w:t>Pasový límec:</w:t>
      </w:r>
    </w:p>
    <w:p w:rsidR="002168B9" w:rsidRPr="00877163" w:rsidRDefault="00901980" w:rsidP="002168B9">
      <w:pPr>
        <w:spacing w:after="0" w:line="276" w:lineRule="auto"/>
        <w:jc w:val="both"/>
        <w:rPr>
          <w:lang w:bidi="cs-CZ"/>
        </w:rPr>
      </w:pPr>
      <w:proofErr w:type="gramStart"/>
      <w:r>
        <w:rPr>
          <w:lang w:bidi="cs-CZ"/>
        </w:rPr>
        <w:t xml:space="preserve">Z </w:t>
      </w:r>
      <w:r w:rsidRPr="00C12C41">
        <w:rPr>
          <w:lang w:bidi="cs-CZ"/>
        </w:rPr>
        <w:t> vrchového</w:t>
      </w:r>
      <w:proofErr w:type="gramEnd"/>
      <w:r w:rsidRPr="00C12C41">
        <w:rPr>
          <w:lang w:bidi="cs-CZ"/>
        </w:rPr>
        <w:t xml:space="preserve"> materiálu </w:t>
      </w:r>
      <w:r>
        <w:rPr>
          <w:lang w:bidi="cs-CZ"/>
        </w:rPr>
        <w:t xml:space="preserve">široký 35mm </w:t>
      </w:r>
      <w:r w:rsidRPr="00C12C41">
        <w:rPr>
          <w:lang w:bidi="cs-CZ"/>
        </w:rPr>
        <w:t xml:space="preserve">z vnitřní strany zapravený pasovkou s protiskluzkou. </w:t>
      </w:r>
      <w:r w:rsidR="00877163" w:rsidRPr="00877163">
        <w:rPr>
          <w:lang w:bidi="cs-CZ"/>
        </w:rPr>
        <w:t>Levá strana p</w:t>
      </w:r>
      <w:r>
        <w:rPr>
          <w:lang w:bidi="cs-CZ"/>
        </w:rPr>
        <w:t>asového límce</w:t>
      </w:r>
      <w:r w:rsidR="00877163" w:rsidRPr="00877163">
        <w:rPr>
          <w:lang w:bidi="cs-CZ"/>
        </w:rPr>
        <w:t xml:space="preserve"> </w:t>
      </w:r>
      <w:r>
        <w:rPr>
          <w:lang w:bidi="cs-CZ"/>
        </w:rPr>
        <w:t>zako</w:t>
      </w:r>
      <w:r w:rsidR="00877163" w:rsidRPr="00877163">
        <w:rPr>
          <w:lang w:bidi="cs-CZ"/>
        </w:rPr>
        <w:t>nčená</w:t>
      </w:r>
      <w:r>
        <w:rPr>
          <w:lang w:bidi="cs-CZ"/>
        </w:rPr>
        <w:t xml:space="preserve"> prodlouženým</w:t>
      </w:r>
      <w:r w:rsidR="00877163" w:rsidRPr="00877163">
        <w:rPr>
          <w:lang w:bidi="cs-CZ"/>
        </w:rPr>
        <w:t xml:space="preserve"> přepnutím</w:t>
      </w:r>
      <w:r>
        <w:rPr>
          <w:lang w:bidi="cs-CZ"/>
        </w:rPr>
        <w:t xml:space="preserve"> tvarovaným</w:t>
      </w:r>
      <w:r w:rsidR="00877163" w:rsidRPr="00877163">
        <w:rPr>
          <w:lang w:bidi="cs-CZ"/>
        </w:rPr>
        <w:t xml:space="preserve"> do špičky </w:t>
      </w:r>
      <w:r>
        <w:rPr>
          <w:lang w:bidi="cs-CZ"/>
        </w:rPr>
        <w:t>dlouhým</w:t>
      </w:r>
      <w:r w:rsidR="00877163" w:rsidRPr="00877163">
        <w:rPr>
          <w:lang w:bidi="cs-CZ"/>
        </w:rPr>
        <w:t xml:space="preserve"> 5 cm, zapínan</w:t>
      </w:r>
      <w:r>
        <w:rPr>
          <w:lang w:bidi="cs-CZ"/>
        </w:rPr>
        <w:t>á</w:t>
      </w:r>
      <w:r w:rsidR="00877163" w:rsidRPr="00877163">
        <w:rPr>
          <w:lang w:bidi="cs-CZ"/>
        </w:rPr>
        <w:t xml:space="preserve"> na knoflík </w:t>
      </w:r>
      <w:r w:rsidR="00EB7BF3">
        <w:rPr>
          <w:lang w:bidi="cs-CZ"/>
        </w:rPr>
        <w:t>a dírku, z vnitřní strany pasového límce je nalisovaný</w:t>
      </w:r>
      <w:r w:rsidR="00877163" w:rsidRPr="00877163">
        <w:rPr>
          <w:lang w:bidi="cs-CZ"/>
        </w:rPr>
        <w:t xml:space="preserve"> </w:t>
      </w:r>
      <w:r>
        <w:rPr>
          <w:lang w:bidi="cs-CZ"/>
        </w:rPr>
        <w:t xml:space="preserve">kalhotový </w:t>
      </w:r>
      <w:r w:rsidR="00877163" w:rsidRPr="00877163">
        <w:rPr>
          <w:lang w:bidi="cs-CZ"/>
        </w:rPr>
        <w:t xml:space="preserve">hák a </w:t>
      </w:r>
      <w:r>
        <w:rPr>
          <w:lang w:bidi="cs-CZ"/>
        </w:rPr>
        <w:t>očko</w:t>
      </w:r>
      <w:r w:rsidR="00877163" w:rsidRPr="00877163">
        <w:rPr>
          <w:lang w:bidi="cs-CZ"/>
        </w:rPr>
        <w:t>. Prošitý pod pasovým límcem.</w:t>
      </w:r>
      <w:r w:rsidR="00550276">
        <w:rPr>
          <w:lang w:bidi="cs-CZ"/>
        </w:rPr>
        <w:t xml:space="preserve"> </w:t>
      </w:r>
      <w:r w:rsidR="00877163" w:rsidRPr="00877163">
        <w:rPr>
          <w:lang w:bidi="cs-CZ"/>
        </w:rPr>
        <w:t>V místě bočních kapes je pasový límec členěný, regulovatelný autospon</w:t>
      </w:r>
      <w:r>
        <w:rPr>
          <w:lang w:bidi="cs-CZ"/>
        </w:rPr>
        <w:t>ami</w:t>
      </w:r>
      <w:r w:rsidR="00877163" w:rsidRPr="00877163">
        <w:rPr>
          <w:lang w:bidi="cs-CZ"/>
        </w:rPr>
        <w:t xml:space="preserve">. </w:t>
      </w:r>
      <w:r w:rsidR="003D7D51">
        <w:rPr>
          <w:lang w:bidi="cs-CZ"/>
        </w:rPr>
        <w:lastRenderedPageBreak/>
        <w:t xml:space="preserve">Plastovou kolejnici autospon našitou na zadní části pasového límce překrývají pásky z vrchového materiálu šíře </w:t>
      </w:r>
      <w:proofErr w:type="gramStart"/>
      <w:r w:rsidR="003D7D51">
        <w:rPr>
          <w:lang w:bidi="cs-CZ"/>
        </w:rPr>
        <w:t>20mm</w:t>
      </w:r>
      <w:proofErr w:type="gramEnd"/>
      <w:r w:rsidR="003D7D51">
        <w:rPr>
          <w:lang w:bidi="cs-CZ"/>
        </w:rPr>
        <w:t xml:space="preserve">, provlečené kovovou částí spony nalisovanou k pasovému límci. Boční strany pásku jsou připevněné k pasovému límci uzávěrkami zhotovenými na závorovacím šicím stroji. Pásky jsou prošité za </w:t>
      </w:r>
      <w:proofErr w:type="gramStart"/>
      <w:r w:rsidR="003D7D51">
        <w:rPr>
          <w:lang w:bidi="cs-CZ"/>
        </w:rPr>
        <w:t>1mm</w:t>
      </w:r>
      <w:proofErr w:type="gramEnd"/>
      <w:r w:rsidR="003D7D51">
        <w:rPr>
          <w:lang w:bidi="cs-CZ"/>
        </w:rPr>
        <w:t xml:space="preserve"> ze dvou stran. </w:t>
      </w:r>
      <w:r>
        <w:rPr>
          <w:lang w:bidi="cs-CZ"/>
        </w:rPr>
        <w:t>Konfekční k</w:t>
      </w:r>
      <w:r w:rsidRPr="00C12C41">
        <w:rPr>
          <w:lang w:bidi="cs-CZ"/>
        </w:rPr>
        <w:t xml:space="preserve">noflíková dírka </w:t>
      </w:r>
      <w:r>
        <w:rPr>
          <w:lang w:bidi="cs-CZ"/>
        </w:rPr>
        <w:t xml:space="preserve">umístěné 12 mm od </w:t>
      </w:r>
      <w:r w:rsidR="00383864">
        <w:rPr>
          <w:lang w:bidi="cs-CZ"/>
        </w:rPr>
        <w:t>špičky přepnutí levé</w:t>
      </w:r>
      <w:r>
        <w:rPr>
          <w:lang w:bidi="cs-CZ"/>
        </w:rPr>
        <w:t xml:space="preserve"> strany pasového límce</w:t>
      </w:r>
      <w:r w:rsidR="002168B9">
        <w:rPr>
          <w:lang w:bidi="cs-CZ"/>
        </w:rPr>
        <w:t>, proti které je na pravé straně přišitý knoflík.</w:t>
      </w:r>
    </w:p>
    <w:p w:rsidR="00550276" w:rsidRDefault="00550276" w:rsidP="00877163">
      <w:pPr>
        <w:widowControl w:val="0"/>
        <w:spacing w:after="0" w:line="276" w:lineRule="auto"/>
        <w:jc w:val="both"/>
        <w:rPr>
          <w:b/>
          <w:lang w:bidi="cs-CZ"/>
        </w:rPr>
      </w:pPr>
    </w:p>
    <w:p w:rsidR="00877163" w:rsidRPr="00877163" w:rsidRDefault="00383864" w:rsidP="00877163">
      <w:pPr>
        <w:widowControl w:val="0"/>
        <w:spacing w:after="0" w:line="276" w:lineRule="auto"/>
        <w:jc w:val="both"/>
        <w:rPr>
          <w:b/>
          <w:lang w:bidi="cs-CZ"/>
        </w:rPr>
      </w:pPr>
      <w:r>
        <w:rPr>
          <w:b/>
          <w:lang w:bidi="cs-CZ"/>
        </w:rPr>
        <w:t>Poutka:</w:t>
      </w:r>
    </w:p>
    <w:p w:rsidR="00383864" w:rsidRDefault="00383864" w:rsidP="00383864">
      <w:pPr>
        <w:spacing w:after="0" w:line="276" w:lineRule="auto"/>
        <w:jc w:val="both"/>
        <w:rPr>
          <w:lang w:bidi="cs-CZ"/>
        </w:rPr>
      </w:pPr>
      <w:r w:rsidRPr="00C12C41">
        <w:rPr>
          <w:lang w:bidi="cs-CZ"/>
        </w:rPr>
        <w:t xml:space="preserve">V pasovém švu je všito </w:t>
      </w:r>
      <w:r>
        <w:rPr>
          <w:lang w:bidi="cs-CZ"/>
        </w:rPr>
        <w:t xml:space="preserve">šest poutek z vrchového materiálu.  V přední části je na každé straně po </w:t>
      </w:r>
      <w:proofErr w:type="gramStart"/>
      <w:r>
        <w:rPr>
          <w:lang w:bidi="cs-CZ"/>
        </w:rPr>
        <w:t>dvou  poutkach</w:t>
      </w:r>
      <w:proofErr w:type="gramEnd"/>
      <w:r>
        <w:rPr>
          <w:lang w:bidi="cs-CZ"/>
        </w:rPr>
        <w:t xml:space="preserve"> šíře 12mm, které jsou zajištěné spodní uzávěrkou umístěnou 10mm pod pasovým límcem, následně jsou poutka přehnuté a v kraji pasového límce připevněné uzávěrk</w:t>
      </w:r>
      <w:r w:rsidR="004E5A57">
        <w:rPr>
          <w:lang w:bidi="cs-CZ"/>
        </w:rPr>
        <w:t>ami</w:t>
      </w:r>
      <w:r>
        <w:rPr>
          <w:lang w:bidi="cs-CZ"/>
        </w:rPr>
        <w:t xml:space="preserve"> zhotoven</w:t>
      </w:r>
      <w:r w:rsidR="004E5A57">
        <w:rPr>
          <w:lang w:bidi="cs-CZ"/>
        </w:rPr>
        <w:t>ými</w:t>
      </w:r>
      <w:r>
        <w:rPr>
          <w:lang w:bidi="cs-CZ"/>
        </w:rPr>
        <w:t xml:space="preserve"> </w:t>
      </w:r>
      <w:r w:rsidR="001C0A4C">
        <w:rPr>
          <w:lang w:bidi="cs-CZ"/>
        </w:rPr>
        <w:br/>
      </w:r>
      <w:r>
        <w:rPr>
          <w:lang w:bidi="cs-CZ"/>
        </w:rPr>
        <w:t xml:space="preserve">na závorovacím šicím stroji. </w:t>
      </w:r>
      <w:proofErr w:type="gramStart"/>
      <w:r>
        <w:rPr>
          <w:lang w:bidi="cs-CZ"/>
        </w:rPr>
        <w:t>40mm</w:t>
      </w:r>
      <w:proofErr w:type="gramEnd"/>
      <w:r w:rsidRPr="00D613A2">
        <w:rPr>
          <w:lang w:bidi="cs-CZ"/>
        </w:rPr>
        <w:t xml:space="preserve"> </w:t>
      </w:r>
      <w:r w:rsidRPr="00C12C41">
        <w:rPr>
          <w:lang w:bidi="cs-CZ"/>
        </w:rPr>
        <w:t>od sedového švu zadního dílu</w:t>
      </w:r>
      <w:r>
        <w:rPr>
          <w:lang w:bidi="cs-CZ"/>
        </w:rPr>
        <w:t xml:space="preserve"> je na každé straně umístěné předšité poutko z vrchového materiálu široké 10cm, připevněné 10mm pod pasovým límcem strojovou uzávěrkou, následně jsou poutka přehnuté a v kraji přišité k okraji pasového límce, a dále zabezpečené dvěma uzávěrkami zhotovenými na závorovacím šicím stroji.</w:t>
      </w:r>
    </w:p>
    <w:p w:rsidR="00877163" w:rsidRPr="00877163" w:rsidRDefault="00877163" w:rsidP="00877163">
      <w:pPr>
        <w:spacing w:after="0" w:line="276" w:lineRule="auto"/>
        <w:jc w:val="both"/>
        <w:rPr>
          <w:lang w:bidi="cs-CZ"/>
        </w:rPr>
      </w:pPr>
    </w:p>
    <w:p w:rsidR="00877163" w:rsidRPr="00877163" w:rsidRDefault="00877163" w:rsidP="00877163">
      <w:pPr>
        <w:spacing w:after="0" w:line="276" w:lineRule="auto"/>
        <w:jc w:val="both"/>
        <w:rPr>
          <w:b/>
          <w:lang w:bidi="cs-CZ"/>
        </w:rPr>
      </w:pPr>
      <w:r w:rsidRPr="00877163">
        <w:rPr>
          <w:b/>
          <w:lang w:bidi="cs-CZ"/>
        </w:rPr>
        <w:t xml:space="preserve">Délka: </w:t>
      </w:r>
    </w:p>
    <w:p w:rsidR="00877163" w:rsidRPr="00877163" w:rsidRDefault="00D83DC2" w:rsidP="00877163">
      <w:pPr>
        <w:spacing w:after="0" w:line="276" w:lineRule="auto"/>
        <w:jc w:val="both"/>
        <w:rPr>
          <w:lang w:bidi="cs-CZ"/>
        </w:rPr>
      </w:pPr>
      <w:r>
        <w:rPr>
          <w:lang w:bidi="cs-CZ"/>
        </w:rPr>
        <w:t xml:space="preserve">Záložka široká 40 mm </w:t>
      </w:r>
      <w:r w:rsidR="00877163" w:rsidRPr="00877163">
        <w:rPr>
          <w:lang w:bidi="cs-CZ"/>
        </w:rPr>
        <w:t xml:space="preserve">s našitým </w:t>
      </w:r>
      <w:r w:rsidR="007655ED">
        <w:rPr>
          <w:lang w:bidi="cs-CZ"/>
        </w:rPr>
        <w:t xml:space="preserve">kalhotovým </w:t>
      </w:r>
      <w:r w:rsidR="00877163" w:rsidRPr="00877163">
        <w:rPr>
          <w:lang w:bidi="cs-CZ"/>
        </w:rPr>
        <w:t>chránítkem,</w:t>
      </w:r>
      <w:r w:rsidRPr="00D83DC2">
        <w:rPr>
          <w:lang w:bidi="cs-CZ"/>
        </w:rPr>
        <w:t xml:space="preserve"> </w:t>
      </w:r>
      <w:r w:rsidRPr="00877163">
        <w:rPr>
          <w:lang w:bidi="cs-CZ"/>
        </w:rPr>
        <w:t>obnitkovaná, podehnutá</w:t>
      </w:r>
      <w:r>
        <w:rPr>
          <w:lang w:bidi="cs-CZ"/>
        </w:rPr>
        <w:t xml:space="preserve"> zapošitá skrytým stehem.</w:t>
      </w:r>
    </w:p>
    <w:p w:rsidR="00877163" w:rsidRPr="00877163" w:rsidRDefault="00877163" w:rsidP="00877163">
      <w:pPr>
        <w:spacing w:after="0" w:line="276" w:lineRule="auto"/>
        <w:jc w:val="both"/>
        <w:rPr>
          <w:lang w:bidi="cs-CZ"/>
        </w:rPr>
      </w:pPr>
    </w:p>
    <w:p w:rsidR="00877163" w:rsidRPr="00877163" w:rsidRDefault="00D83DC2" w:rsidP="00877163">
      <w:pPr>
        <w:spacing w:after="0" w:line="276" w:lineRule="auto"/>
        <w:jc w:val="both"/>
        <w:rPr>
          <w:b/>
          <w:lang w:bidi="cs-CZ"/>
        </w:rPr>
      </w:pPr>
      <w:r>
        <w:rPr>
          <w:b/>
          <w:lang w:bidi="cs-CZ"/>
        </w:rPr>
        <w:t>Vnitřní zpracování:</w:t>
      </w:r>
    </w:p>
    <w:p w:rsidR="00D83DC2" w:rsidRPr="00C12C41" w:rsidRDefault="00D83DC2" w:rsidP="00D83DC2">
      <w:pPr>
        <w:spacing w:after="0" w:line="276" w:lineRule="auto"/>
        <w:jc w:val="both"/>
        <w:rPr>
          <w:lang w:bidi="cs-CZ"/>
        </w:rPr>
      </w:pPr>
      <w:r w:rsidRPr="00C12C41">
        <w:rPr>
          <w:lang w:bidi="cs-CZ"/>
        </w:rPr>
        <w:t xml:space="preserve">Švové záložky </w:t>
      </w:r>
      <w:r>
        <w:rPr>
          <w:lang w:bidi="cs-CZ"/>
        </w:rPr>
        <w:t xml:space="preserve">montážních </w:t>
      </w:r>
      <w:r w:rsidRPr="00C12C41">
        <w:rPr>
          <w:lang w:bidi="cs-CZ"/>
        </w:rPr>
        <w:t>švů jsou obnitkované</w:t>
      </w:r>
      <w:r>
        <w:rPr>
          <w:lang w:bidi="cs-CZ"/>
        </w:rPr>
        <w:t>, boční a krokové švy jsou v celé délce rozžehlené</w:t>
      </w:r>
      <w:r w:rsidRPr="00C12C41">
        <w:rPr>
          <w:lang w:bidi="cs-CZ"/>
        </w:rPr>
        <w:t xml:space="preserve">. Kapesní váčky </w:t>
      </w:r>
      <w:r>
        <w:rPr>
          <w:lang w:bidi="cs-CZ"/>
        </w:rPr>
        <w:t xml:space="preserve">začištěné na </w:t>
      </w:r>
      <w:r w:rsidRPr="00C12C41">
        <w:rPr>
          <w:lang w:bidi="cs-CZ"/>
        </w:rPr>
        <w:t>obnitk</w:t>
      </w:r>
      <w:r>
        <w:rPr>
          <w:lang w:bidi="cs-CZ"/>
        </w:rPr>
        <w:t>ovacím stroji se zajišťovacím stehem</w:t>
      </w:r>
      <w:r w:rsidRPr="00C12C41">
        <w:rPr>
          <w:lang w:bidi="cs-CZ"/>
        </w:rPr>
        <w:t xml:space="preserve"> s vložením veltonového proužku.</w:t>
      </w:r>
      <w:r>
        <w:rPr>
          <w:lang w:bidi="cs-CZ"/>
        </w:rPr>
        <w:t xml:space="preserve"> </w:t>
      </w:r>
      <w:r w:rsidR="00383864">
        <w:rPr>
          <w:lang w:bidi="cs-CZ"/>
        </w:rPr>
        <w:t>D</w:t>
      </w:r>
      <w:r w:rsidR="00383864" w:rsidRPr="00D83DC2">
        <w:rPr>
          <w:lang w:bidi="cs-CZ"/>
        </w:rPr>
        <w:t xml:space="preserve">o vnitřní strany </w:t>
      </w:r>
      <w:r w:rsidR="00383864">
        <w:rPr>
          <w:lang w:bidi="cs-CZ"/>
        </w:rPr>
        <w:t xml:space="preserve">kalhot v </w:t>
      </w:r>
      <w:r w:rsidR="00383864" w:rsidRPr="00D83DC2">
        <w:rPr>
          <w:lang w:bidi="cs-CZ"/>
        </w:rPr>
        <w:t>sedové</w:t>
      </w:r>
      <w:r w:rsidR="00383864">
        <w:rPr>
          <w:lang w:bidi="cs-CZ"/>
        </w:rPr>
        <w:t>m</w:t>
      </w:r>
      <w:r w:rsidR="00383864" w:rsidRPr="00D83DC2">
        <w:rPr>
          <w:lang w:bidi="cs-CZ"/>
        </w:rPr>
        <w:t xml:space="preserve"> výkroj</w:t>
      </w:r>
      <w:r w:rsidR="00383864">
        <w:rPr>
          <w:lang w:bidi="cs-CZ"/>
        </w:rPr>
        <w:t>i</w:t>
      </w:r>
      <w:r w:rsidR="00383864" w:rsidRPr="00D83DC2">
        <w:rPr>
          <w:lang w:bidi="cs-CZ"/>
        </w:rPr>
        <w:t xml:space="preserve"> je všitý obnitkovaný krokový podklad z kapsoviny, připevněný na </w:t>
      </w:r>
      <w:r w:rsidR="00383864">
        <w:rPr>
          <w:lang w:bidi="cs-CZ"/>
        </w:rPr>
        <w:t xml:space="preserve">záložky </w:t>
      </w:r>
      <w:r w:rsidR="00383864" w:rsidRPr="00D83DC2">
        <w:rPr>
          <w:lang w:bidi="cs-CZ"/>
        </w:rPr>
        <w:t>krokov</w:t>
      </w:r>
      <w:r w:rsidR="00383864">
        <w:rPr>
          <w:lang w:bidi="cs-CZ"/>
        </w:rPr>
        <w:t>ých</w:t>
      </w:r>
      <w:r w:rsidR="00383864" w:rsidRPr="00D83DC2">
        <w:rPr>
          <w:lang w:bidi="cs-CZ"/>
        </w:rPr>
        <w:t xml:space="preserve"> šv</w:t>
      </w:r>
      <w:r w:rsidR="00383864">
        <w:rPr>
          <w:lang w:bidi="cs-CZ"/>
        </w:rPr>
        <w:t>ů</w:t>
      </w:r>
      <w:r w:rsidR="00383864" w:rsidRPr="00D83DC2">
        <w:rPr>
          <w:lang w:bidi="cs-CZ"/>
        </w:rPr>
        <w:t xml:space="preserve"> a sedo</w:t>
      </w:r>
      <w:r w:rsidR="00383864">
        <w:rPr>
          <w:lang w:bidi="cs-CZ"/>
        </w:rPr>
        <w:t>vou záložku bodovými uzávěrkami.</w:t>
      </w:r>
      <w:r w:rsidR="008D4275">
        <w:rPr>
          <w:lang w:bidi="cs-CZ"/>
        </w:rPr>
        <w:t xml:space="preserve"> </w:t>
      </w:r>
      <w:r w:rsidRPr="00C12C41">
        <w:rPr>
          <w:lang w:bidi="cs-CZ"/>
        </w:rPr>
        <w:t xml:space="preserve">Etiketa s ošetřovacími symboly je všitá do pasového švu </w:t>
      </w:r>
      <w:r>
        <w:rPr>
          <w:lang w:bidi="cs-CZ"/>
        </w:rPr>
        <w:t xml:space="preserve">z vnitřní strany </w:t>
      </w:r>
      <w:r w:rsidRPr="00C12C41">
        <w:rPr>
          <w:lang w:bidi="cs-CZ"/>
        </w:rPr>
        <w:t xml:space="preserve">na střed </w:t>
      </w:r>
      <w:r>
        <w:rPr>
          <w:lang w:bidi="cs-CZ"/>
        </w:rPr>
        <w:t>kapesního váčku pravého</w:t>
      </w:r>
      <w:r w:rsidRPr="00C12C41">
        <w:rPr>
          <w:lang w:bidi="cs-CZ"/>
        </w:rPr>
        <w:t xml:space="preserve"> zadního dílu. Etiketa výrobce </w:t>
      </w:r>
      <w:r>
        <w:rPr>
          <w:lang w:bidi="cs-CZ"/>
        </w:rPr>
        <w:t>našitá</w:t>
      </w:r>
      <w:r w:rsidRPr="00C12C41">
        <w:rPr>
          <w:lang w:bidi="cs-CZ"/>
        </w:rPr>
        <w:t xml:space="preserve"> na střed kapesního váčku zadní kapsy v místě podkladové podsádky.</w:t>
      </w:r>
    </w:p>
    <w:p w:rsidR="00877163" w:rsidRPr="00877163" w:rsidRDefault="00877163" w:rsidP="00877163">
      <w:pPr>
        <w:spacing w:after="0" w:line="276" w:lineRule="auto"/>
        <w:jc w:val="both"/>
        <w:rPr>
          <w:lang w:bidi="cs-CZ"/>
        </w:rPr>
      </w:pPr>
    </w:p>
    <w:p w:rsidR="00877163" w:rsidRPr="00877163" w:rsidRDefault="00877163" w:rsidP="00877163">
      <w:pPr>
        <w:spacing w:after="0" w:line="276" w:lineRule="auto"/>
        <w:jc w:val="both"/>
        <w:rPr>
          <w:b/>
          <w:lang w:bidi="cs-CZ"/>
        </w:rPr>
      </w:pPr>
      <w:r w:rsidRPr="00877163">
        <w:rPr>
          <w:b/>
          <w:lang w:bidi="cs-CZ"/>
        </w:rPr>
        <w:t>Fixace:</w:t>
      </w:r>
    </w:p>
    <w:p w:rsidR="00877163" w:rsidRPr="00877163" w:rsidRDefault="008D4275" w:rsidP="00877163">
      <w:pPr>
        <w:spacing w:after="0" w:line="276" w:lineRule="auto"/>
        <w:jc w:val="both"/>
        <w:rPr>
          <w:u w:val="single"/>
          <w:lang w:bidi="cs-CZ"/>
        </w:rPr>
      </w:pPr>
      <w:r>
        <w:rPr>
          <w:u w:val="single"/>
          <w:lang w:bidi="cs-CZ"/>
        </w:rPr>
        <w:t>netkaná fixační</w:t>
      </w:r>
      <w:r w:rsidR="00EB7BF3">
        <w:rPr>
          <w:u w:val="single"/>
          <w:lang w:bidi="cs-CZ"/>
        </w:rPr>
        <w:t xml:space="preserve"> vložka</w:t>
      </w:r>
    </w:p>
    <w:p w:rsidR="008D4275" w:rsidRDefault="008D4275" w:rsidP="008D4275">
      <w:pPr>
        <w:numPr>
          <w:ilvl w:val="0"/>
          <w:numId w:val="18"/>
        </w:numPr>
        <w:spacing w:after="0" w:line="276" w:lineRule="auto"/>
        <w:jc w:val="both"/>
        <w:rPr>
          <w:b/>
          <w:bCs/>
          <w:lang w:bidi="cs-CZ"/>
        </w:rPr>
      </w:pPr>
      <w:r>
        <w:rPr>
          <w:lang w:bidi="cs-CZ"/>
        </w:rPr>
        <w:t>Nákrytová a podkrytová strana rozparku</w:t>
      </w:r>
      <w:r w:rsidR="00877163" w:rsidRPr="00877163">
        <w:rPr>
          <w:lang w:bidi="cs-CZ"/>
        </w:rPr>
        <w:t xml:space="preserve">, </w:t>
      </w:r>
      <w:r>
        <w:rPr>
          <w:lang w:bidi="cs-CZ"/>
        </w:rPr>
        <w:t>průhmat bočních kapes,</w:t>
      </w:r>
      <w:r w:rsidRPr="00C12C41">
        <w:rPr>
          <w:lang w:bidi="cs-CZ"/>
        </w:rPr>
        <w:t xml:space="preserve"> podložení zadní</w:t>
      </w:r>
      <w:r>
        <w:rPr>
          <w:lang w:bidi="cs-CZ"/>
        </w:rPr>
        <w:t>ch</w:t>
      </w:r>
      <w:r w:rsidRPr="00C12C41">
        <w:rPr>
          <w:lang w:bidi="cs-CZ"/>
        </w:rPr>
        <w:t xml:space="preserve"> kap</w:t>
      </w:r>
      <w:r>
        <w:rPr>
          <w:lang w:bidi="cs-CZ"/>
        </w:rPr>
        <w:t>es</w:t>
      </w:r>
      <w:r w:rsidRPr="00C12C41">
        <w:rPr>
          <w:lang w:bidi="cs-CZ"/>
        </w:rPr>
        <w:t>, výpust</w:t>
      </w:r>
      <w:r>
        <w:rPr>
          <w:lang w:bidi="cs-CZ"/>
        </w:rPr>
        <w:t>kové podsádky</w:t>
      </w:r>
      <w:r w:rsidRPr="00C12C41">
        <w:rPr>
          <w:lang w:bidi="cs-CZ"/>
        </w:rPr>
        <w:t xml:space="preserve"> zadní</w:t>
      </w:r>
      <w:r>
        <w:rPr>
          <w:lang w:bidi="cs-CZ"/>
        </w:rPr>
        <w:t>ch</w:t>
      </w:r>
      <w:r w:rsidRPr="00C12C41">
        <w:rPr>
          <w:lang w:bidi="cs-CZ"/>
        </w:rPr>
        <w:t xml:space="preserve"> kap</w:t>
      </w:r>
      <w:r>
        <w:rPr>
          <w:lang w:bidi="cs-CZ"/>
        </w:rPr>
        <w:t>es</w:t>
      </w:r>
      <w:r w:rsidRPr="00C12C41">
        <w:rPr>
          <w:lang w:bidi="cs-CZ"/>
        </w:rPr>
        <w:t>,</w:t>
      </w:r>
    </w:p>
    <w:p w:rsidR="008D4275" w:rsidRPr="008D4275" w:rsidRDefault="008D4275" w:rsidP="008D4275">
      <w:pPr>
        <w:spacing w:after="0" w:line="276" w:lineRule="auto"/>
        <w:ind w:left="1069"/>
        <w:jc w:val="both"/>
        <w:rPr>
          <w:b/>
          <w:bCs/>
          <w:lang w:bidi="cs-CZ"/>
        </w:rPr>
      </w:pPr>
    </w:p>
    <w:p w:rsidR="000A13C5" w:rsidRPr="00AE7D50" w:rsidRDefault="000A13C5" w:rsidP="000A13C5">
      <w:pPr>
        <w:spacing w:after="0" w:line="276" w:lineRule="auto"/>
        <w:jc w:val="both"/>
        <w:rPr>
          <w:bCs/>
          <w:lang w:bidi="cs-CZ"/>
        </w:rPr>
      </w:pPr>
      <w:r w:rsidRPr="00AE7D50">
        <w:rPr>
          <w:bCs/>
          <w:lang w:bidi="cs-CZ"/>
        </w:rPr>
        <w:t xml:space="preserve">Veškeré zadané rozměry v kapitole </w:t>
      </w:r>
      <w:r>
        <w:rPr>
          <w:bCs/>
          <w:lang w:bidi="cs-CZ"/>
        </w:rPr>
        <w:t>2</w:t>
      </w:r>
      <w:r w:rsidRPr="00AE7D50">
        <w:rPr>
          <w:bCs/>
          <w:lang w:bidi="cs-CZ"/>
        </w:rPr>
        <w:t xml:space="preserve"> jsou stanovené pro kalkulační velikost,</w:t>
      </w:r>
      <w:r>
        <w:rPr>
          <w:bCs/>
          <w:lang w:bidi="cs-CZ"/>
        </w:rPr>
        <w:t xml:space="preserve"> </w:t>
      </w:r>
      <w:r w:rsidRPr="00AE7D50">
        <w:rPr>
          <w:bCs/>
          <w:lang w:bidi="cs-CZ"/>
        </w:rPr>
        <w:t xml:space="preserve">není-li specifikováno </w:t>
      </w:r>
      <w:r w:rsidR="001C0A4C">
        <w:rPr>
          <w:bCs/>
          <w:lang w:bidi="cs-CZ"/>
        </w:rPr>
        <w:br/>
      </w:r>
      <w:r w:rsidRPr="00AE7D50">
        <w:rPr>
          <w:bCs/>
          <w:lang w:bidi="cs-CZ"/>
        </w:rPr>
        <w:t>na konkrétní velikosti</w:t>
      </w:r>
      <w:r>
        <w:rPr>
          <w:bCs/>
          <w:lang w:bidi="cs-CZ"/>
        </w:rPr>
        <w:t>.</w:t>
      </w:r>
      <w:r w:rsidRPr="00AE7D50">
        <w:rPr>
          <w:bCs/>
          <w:lang w:bidi="cs-CZ"/>
        </w:rPr>
        <w:t xml:space="preserve"> </w:t>
      </w:r>
      <w:r>
        <w:rPr>
          <w:bCs/>
          <w:lang w:bidi="cs-CZ"/>
        </w:rPr>
        <w:t>K</w:t>
      </w:r>
      <w:r w:rsidRPr="00AE7D50">
        <w:rPr>
          <w:bCs/>
          <w:lang w:bidi="cs-CZ"/>
        </w:rPr>
        <w:t>onstrukční řešení jednotlivých dílů musí být</w:t>
      </w:r>
      <w:r>
        <w:rPr>
          <w:bCs/>
          <w:lang w:bidi="cs-CZ"/>
        </w:rPr>
        <w:t xml:space="preserve"> </w:t>
      </w:r>
      <w:r w:rsidRPr="00AE7D50">
        <w:rPr>
          <w:bCs/>
          <w:lang w:bidi="cs-CZ"/>
        </w:rPr>
        <w:t>přizpůsobeno funkčnosti a nesmí omezovat účel použití výrobku.</w:t>
      </w:r>
    </w:p>
    <w:p w:rsidR="000A13C5" w:rsidRPr="00245298" w:rsidRDefault="000A13C5" w:rsidP="00DE783E">
      <w:pPr>
        <w:spacing w:after="0" w:line="276" w:lineRule="auto"/>
        <w:jc w:val="both"/>
        <w:rPr>
          <w:b/>
          <w:bCs/>
          <w:lang w:bidi="cs-CZ"/>
        </w:rPr>
      </w:pPr>
    </w:p>
    <w:p w:rsidR="00245298" w:rsidRPr="00245298" w:rsidRDefault="00245298" w:rsidP="00DE783E">
      <w:pPr>
        <w:numPr>
          <w:ilvl w:val="0"/>
          <w:numId w:val="1"/>
        </w:numPr>
        <w:spacing w:after="0" w:line="276" w:lineRule="auto"/>
        <w:jc w:val="both"/>
        <w:rPr>
          <w:b/>
          <w:bCs/>
          <w:lang w:bidi="cs-CZ"/>
        </w:rPr>
      </w:pPr>
      <w:bookmarkStart w:id="2" w:name="bookmark3"/>
      <w:r w:rsidRPr="00245298">
        <w:rPr>
          <w:b/>
          <w:bCs/>
          <w:lang w:bidi="cs-CZ"/>
        </w:rPr>
        <w:t>ZPRACOVÁNÍ</w:t>
      </w:r>
      <w:bookmarkEnd w:id="2"/>
    </w:p>
    <w:p w:rsidR="00C12C41" w:rsidRPr="00C12C41" w:rsidRDefault="00C12C41" w:rsidP="00C12C41">
      <w:pPr>
        <w:pStyle w:val="Odstavecseseznamem"/>
        <w:numPr>
          <w:ilvl w:val="0"/>
          <w:numId w:val="17"/>
        </w:numPr>
        <w:spacing w:after="0" w:line="276" w:lineRule="auto"/>
        <w:rPr>
          <w:bCs/>
          <w:lang w:bidi="cs-CZ"/>
        </w:rPr>
      </w:pPr>
      <w:r w:rsidRPr="00C12C41">
        <w:rPr>
          <w:bCs/>
          <w:lang w:bidi="cs-CZ"/>
        </w:rPr>
        <w:t xml:space="preserve">počet stehů strojového šití a prošití je 5 </w:t>
      </w:r>
      <w:r w:rsidR="008D4275">
        <w:rPr>
          <w:bCs/>
          <w:lang w:bidi="cs-CZ"/>
        </w:rPr>
        <w:t>±</w:t>
      </w:r>
      <w:r w:rsidRPr="00C12C41">
        <w:rPr>
          <w:bCs/>
          <w:lang w:bidi="cs-CZ"/>
        </w:rPr>
        <w:t xml:space="preserve"> 1steh na </w:t>
      </w:r>
      <w:proofErr w:type="gramStart"/>
      <w:r w:rsidRPr="00C12C41">
        <w:rPr>
          <w:bCs/>
          <w:lang w:bidi="cs-CZ"/>
        </w:rPr>
        <w:t>10mm</w:t>
      </w:r>
      <w:proofErr w:type="gramEnd"/>
      <w:r w:rsidRPr="00C12C41">
        <w:rPr>
          <w:bCs/>
          <w:lang w:bidi="cs-CZ"/>
        </w:rPr>
        <w:t xml:space="preserve">, stehy musí být pravidelné </w:t>
      </w:r>
      <w:r w:rsidR="00877163">
        <w:rPr>
          <w:bCs/>
          <w:lang w:bidi="cs-CZ"/>
        </w:rPr>
        <w:t>b</w:t>
      </w:r>
      <w:r w:rsidRPr="00C12C41">
        <w:rPr>
          <w:bCs/>
          <w:lang w:bidi="cs-CZ"/>
        </w:rPr>
        <w:t xml:space="preserve">ez vynechání, napětí rovnoměrné, začátky, konce šití a více namáhaná místa musí být řádně zapošitá 10mm dlouhým šitím proti párání a proti vytržení, </w:t>
      </w:r>
    </w:p>
    <w:p w:rsidR="00C12C41" w:rsidRPr="00C12C41" w:rsidRDefault="00C12C41" w:rsidP="00C12C41">
      <w:pPr>
        <w:pStyle w:val="Odstavecseseznamem"/>
        <w:numPr>
          <w:ilvl w:val="0"/>
          <w:numId w:val="17"/>
        </w:numPr>
        <w:spacing w:after="0" w:line="276" w:lineRule="auto"/>
        <w:rPr>
          <w:bCs/>
          <w:lang w:bidi="cs-CZ"/>
        </w:rPr>
      </w:pPr>
      <w:r w:rsidRPr="00C12C41">
        <w:rPr>
          <w:bCs/>
          <w:lang w:bidi="cs-CZ"/>
        </w:rPr>
        <w:t>konce stehů musí být na celém výrobku řádně odstřižené,</w:t>
      </w:r>
    </w:p>
    <w:p w:rsidR="00245298" w:rsidRDefault="00245298" w:rsidP="00245298">
      <w:pPr>
        <w:spacing w:after="0" w:line="276" w:lineRule="auto"/>
        <w:ind w:left="720"/>
        <w:rPr>
          <w:bCs/>
          <w:lang w:bidi="cs-CZ"/>
        </w:rPr>
      </w:pPr>
    </w:p>
    <w:p w:rsidR="00433B2A" w:rsidRDefault="00433B2A" w:rsidP="00245298">
      <w:pPr>
        <w:spacing w:after="0" w:line="276" w:lineRule="auto"/>
        <w:ind w:left="720"/>
        <w:rPr>
          <w:bCs/>
          <w:lang w:bidi="cs-CZ"/>
        </w:rPr>
      </w:pPr>
    </w:p>
    <w:p w:rsidR="00433B2A" w:rsidRPr="00245298" w:rsidRDefault="00433B2A" w:rsidP="00245298">
      <w:pPr>
        <w:spacing w:after="0" w:line="276" w:lineRule="auto"/>
        <w:ind w:left="720"/>
        <w:rPr>
          <w:bCs/>
          <w:lang w:bidi="cs-CZ"/>
        </w:rPr>
      </w:pPr>
    </w:p>
    <w:p w:rsidR="00245298" w:rsidRPr="00245298" w:rsidRDefault="00245298" w:rsidP="002125AB">
      <w:pPr>
        <w:numPr>
          <w:ilvl w:val="0"/>
          <w:numId w:val="1"/>
        </w:numPr>
        <w:spacing w:after="0" w:line="276" w:lineRule="auto"/>
        <w:rPr>
          <w:b/>
          <w:bCs/>
          <w:lang w:bidi="cs-CZ"/>
        </w:rPr>
      </w:pPr>
      <w:bookmarkStart w:id="3" w:name="bookmark4"/>
      <w:r w:rsidRPr="00245298">
        <w:rPr>
          <w:b/>
          <w:bCs/>
          <w:lang w:bidi="cs-CZ"/>
        </w:rPr>
        <w:lastRenderedPageBreak/>
        <w:t>SPECIFIKACE POUŽITÉHO MATERIÁLU</w:t>
      </w:r>
      <w:bookmarkEnd w:id="3"/>
    </w:p>
    <w:p w:rsidR="00245298" w:rsidRPr="00245298" w:rsidRDefault="00245298" w:rsidP="002125AB">
      <w:pPr>
        <w:spacing w:after="0" w:line="276" w:lineRule="auto"/>
        <w:rPr>
          <w:b/>
          <w:bCs/>
          <w:lang w:bidi="cs-CZ"/>
        </w:rPr>
      </w:pPr>
    </w:p>
    <w:p w:rsidR="00245298" w:rsidRDefault="00245298" w:rsidP="002125AB">
      <w:pPr>
        <w:numPr>
          <w:ilvl w:val="1"/>
          <w:numId w:val="1"/>
        </w:numPr>
        <w:spacing w:after="0" w:line="276" w:lineRule="auto"/>
        <w:rPr>
          <w:lang w:bidi="cs-CZ"/>
        </w:rPr>
      </w:pPr>
      <w:r w:rsidRPr="00245298">
        <w:rPr>
          <w:lang w:bidi="cs-CZ"/>
        </w:rPr>
        <w:t>Soupis materiálu</w:t>
      </w:r>
    </w:p>
    <w:tbl>
      <w:tblPr>
        <w:tblOverlap w:val="never"/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57"/>
        <w:gridCol w:w="4115"/>
      </w:tblGrid>
      <w:tr w:rsidR="00245298" w:rsidRPr="00245298" w:rsidTr="00550276">
        <w:trPr>
          <w:trHeight w:val="340"/>
          <w:jc w:val="center"/>
        </w:trPr>
        <w:tc>
          <w:tcPr>
            <w:tcW w:w="4957" w:type="dxa"/>
            <w:shd w:val="clear" w:color="auto" w:fill="FFFFFF"/>
            <w:vAlign w:val="center"/>
          </w:tcPr>
          <w:p w:rsidR="00245298" w:rsidRPr="00245298" w:rsidRDefault="00245298" w:rsidP="002125AB">
            <w:pPr>
              <w:spacing w:after="0"/>
              <w:rPr>
                <w:lang w:bidi="cs-CZ"/>
              </w:rPr>
            </w:pPr>
            <w:r w:rsidRPr="00245298">
              <w:rPr>
                <w:b/>
                <w:bCs/>
                <w:lang w:bidi="cs-CZ"/>
              </w:rPr>
              <w:t>Materiál</w:t>
            </w:r>
          </w:p>
        </w:tc>
        <w:tc>
          <w:tcPr>
            <w:tcW w:w="4115" w:type="dxa"/>
            <w:shd w:val="clear" w:color="auto" w:fill="FFFFFF"/>
            <w:vAlign w:val="center"/>
          </w:tcPr>
          <w:p w:rsidR="00245298" w:rsidRPr="00245298" w:rsidRDefault="00245298" w:rsidP="002125AB">
            <w:pPr>
              <w:spacing w:after="0"/>
              <w:rPr>
                <w:lang w:bidi="cs-CZ"/>
              </w:rPr>
            </w:pPr>
            <w:r w:rsidRPr="00245298">
              <w:rPr>
                <w:b/>
                <w:bCs/>
                <w:lang w:bidi="cs-CZ"/>
              </w:rPr>
              <w:t>Složení</w:t>
            </w:r>
          </w:p>
        </w:tc>
      </w:tr>
      <w:tr w:rsidR="00245298" w:rsidRPr="00245298" w:rsidTr="00550276">
        <w:trPr>
          <w:trHeight w:val="340"/>
          <w:jc w:val="center"/>
        </w:trPr>
        <w:tc>
          <w:tcPr>
            <w:tcW w:w="4957" w:type="dxa"/>
            <w:shd w:val="clear" w:color="auto" w:fill="FFFFFF"/>
            <w:vAlign w:val="center"/>
          </w:tcPr>
          <w:p w:rsidR="00245298" w:rsidRPr="00245298" w:rsidRDefault="00245298" w:rsidP="002125AB">
            <w:pPr>
              <w:spacing w:after="0"/>
              <w:rPr>
                <w:lang w:bidi="cs-CZ"/>
              </w:rPr>
            </w:pPr>
            <w:r w:rsidRPr="00245298">
              <w:rPr>
                <w:b/>
                <w:bCs/>
                <w:lang w:bidi="cs-CZ"/>
              </w:rPr>
              <w:t>vrchový materiál</w:t>
            </w:r>
          </w:p>
          <w:p w:rsidR="00245298" w:rsidRPr="00245298" w:rsidRDefault="00245298" w:rsidP="002125AB">
            <w:pPr>
              <w:spacing w:after="0"/>
              <w:rPr>
                <w:lang w:bidi="cs-CZ"/>
              </w:rPr>
            </w:pPr>
            <w:r w:rsidRPr="00245298">
              <w:rPr>
                <w:lang w:bidi="cs-CZ"/>
              </w:rPr>
              <w:t>barva tmavě modrá podle trichromatických souřadnic spektrofotometricky</w:t>
            </w:r>
          </w:p>
          <w:p w:rsidR="00245298" w:rsidRPr="00245298" w:rsidRDefault="00245298" w:rsidP="002125AB">
            <w:pPr>
              <w:spacing w:after="0"/>
              <w:rPr>
                <w:lang w:bidi="cs-CZ"/>
              </w:rPr>
            </w:pPr>
            <w:r w:rsidRPr="00245298">
              <w:rPr>
                <w:lang w:bidi="cs-CZ"/>
              </w:rPr>
              <w:t xml:space="preserve">Povolená </w:t>
            </w:r>
            <w:proofErr w:type="gramStart"/>
            <w:r w:rsidRPr="00245298">
              <w:rPr>
                <w:lang w:bidi="cs-CZ"/>
              </w:rPr>
              <w:t>tolerance - stupeň</w:t>
            </w:r>
            <w:proofErr w:type="gramEnd"/>
            <w:r w:rsidRPr="00245298">
              <w:rPr>
                <w:lang w:bidi="cs-CZ"/>
              </w:rPr>
              <w:t xml:space="preserve"> 4 šedé stupnice</w:t>
            </w:r>
          </w:p>
          <w:p w:rsidR="00245298" w:rsidRPr="00245298" w:rsidRDefault="00245298" w:rsidP="002125AB">
            <w:pPr>
              <w:spacing w:after="0"/>
              <w:rPr>
                <w:lang w:bidi="cs-CZ"/>
              </w:rPr>
            </w:pPr>
            <w:r w:rsidRPr="00245298">
              <w:rPr>
                <w:lang w:bidi="cs-CZ"/>
              </w:rPr>
              <w:t>vazba plátnová</w:t>
            </w:r>
          </w:p>
        </w:tc>
        <w:tc>
          <w:tcPr>
            <w:tcW w:w="4115" w:type="dxa"/>
            <w:shd w:val="clear" w:color="auto" w:fill="FFFFFF"/>
            <w:vAlign w:val="center"/>
          </w:tcPr>
          <w:p w:rsidR="00245298" w:rsidRPr="00245298" w:rsidRDefault="00245298" w:rsidP="002125AB">
            <w:pPr>
              <w:spacing w:after="0"/>
              <w:rPr>
                <w:lang w:bidi="cs-CZ"/>
              </w:rPr>
            </w:pPr>
            <w:r w:rsidRPr="00245298">
              <w:rPr>
                <w:lang w:bidi="cs-CZ"/>
              </w:rPr>
              <w:t xml:space="preserve">51% vlna/ 46% polyester/ </w:t>
            </w:r>
            <w:proofErr w:type="gramStart"/>
            <w:r w:rsidRPr="00245298">
              <w:rPr>
                <w:lang w:bidi="cs-CZ"/>
              </w:rPr>
              <w:t>3%</w:t>
            </w:r>
            <w:proofErr w:type="gramEnd"/>
            <w:r w:rsidRPr="00245298">
              <w:rPr>
                <w:lang w:bidi="cs-CZ"/>
              </w:rPr>
              <w:t xml:space="preserve"> elastan</w:t>
            </w:r>
          </w:p>
        </w:tc>
      </w:tr>
      <w:tr w:rsidR="00245298" w:rsidRPr="00245298" w:rsidTr="00550276">
        <w:trPr>
          <w:trHeight w:val="340"/>
          <w:jc w:val="center"/>
        </w:trPr>
        <w:tc>
          <w:tcPr>
            <w:tcW w:w="4957" w:type="dxa"/>
            <w:shd w:val="clear" w:color="auto" w:fill="FFFFFF"/>
            <w:vAlign w:val="center"/>
          </w:tcPr>
          <w:p w:rsidR="00245298" w:rsidRPr="00245298" w:rsidRDefault="00245298" w:rsidP="002125AB">
            <w:pPr>
              <w:spacing w:after="0"/>
              <w:rPr>
                <w:lang w:bidi="cs-CZ"/>
              </w:rPr>
            </w:pPr>
            <w:r w:rsidRPr="00245298">
              <w:rPr>
                <w:b/>
                <w:bCs/>
                <w:lang w:bidi="cs-CZ"/>
              </w:rPr>
              <w:t>podšívka</w:t>
            </w:r>
          </w:p>
          <w:p w:rsidR="00245298" w:rsidRPr="00245298" w:rsidRDefault="00245298" w:rsidP="002125AB">
            <w:pPr>
              <w:spacing w:after="0"/>
              <w:rPr>
                <w:lang w:bidi="cs-CZ"/>
              </w:rPr>
            </w:pPr>
            <w:r w:rsidRPr="00245298">
              <w:rPr>
                <w:lang w:bidi="cs-CZ"/>
              </w:rPr>
              <w:t>barva černá</w:t>
            </w:r>
          </w:p>
          <w:p w:rsidR="00245298" w:rsidRPr="00245298" w:rsidRDefault="00245298" w:rsidP="00C12C41">
            <w:pPr>
              <w:spacing w:after="0"/>
              <w:rPr>
                <w:lang w:bidi="cs-CZ"/>
              </w:rPr>
            </w:pPr>
            <w:r w:rsidRPr="00245298">
              <w:rPr>
                <w:lang w:bidi="cs-CZ"/>
              </w:rPr>
              <w:t xml:space="preserve">hmotnost </w:t>
            </w:r>
            <w:r w:rsidR="00C12C41">
              <w:rPr>
                <w:lang w:bidi="cs-CZ"/>
              </w:rPr>
              <w:t>65</w:t>
            </w:r>
            <w:r w:rsidRPr="00245298">
              <w:rPr>
                <w:lang w:bidi="cs-CZ"/>
              </w:rPr>
              <w:t xml:space="preserve"> ± 5 </w:t>
            </w:r>
            <w:r w:rsidR="00937ED8" w:rsidRPr="00245298">
              <w:rPr>
                <w:lang w:bidi="cs-CZ"/>
              </w:rPr>
              <w:t>g.m</w:t>
            </w:r>
            <w:r w:rsidR="00937ED8" w:rsidRPr="00245298">
              <w:rPr>
                <w:vertAlign w:val="superscript"/>
                <w:lang w:bidi="cs-CZ"/>
              </w:rPr>
              <w:t>-2</w:t>
            </w:r>
            <w:r w:rsidRPr="00245298">
              <w:rPr>
                <w:lang w:bidi="cs-CZ"/>
              </w:rPr>
              <w:t>,</w:t>
            </w:r>
          </w:p>
        </w:tc>
        <w:tc>
          <w:tcPr>
            <w:tcW w:w="4115" w:type="dxa"/>
            <w:shd w:val="clear" w:color="auto" w:fill="FFFFFF"/>
            <w:vAlign w:val="center"/>
          </w:tcPr>
          <w:p w:rsidR="00245298" w:rsidRPr="00245298" w:rsidRDefault="00245298" w:rsidP="002125AB">
            <w:pPr>
              <w:spacing w:after="0"/>
              <w:rPr>
                <w:lang w:bidi="cs-CZ"/>
              </w:rPr>
            </w:pPr>
            <w:r w:rsidRPr="00245298">
              <w:rPr>
                <w:lang w:bidi="cs-CZ"/>
              </w:rPr>
              <w:t>100% polyester</w:t>
            </w:r>
          </w:p>
        </w:tc>
      </w:tr>
      <w:tr w:rsidR="00245298" w:rsidRPr="00245298" w:rsidTr="000A13C5">
        <w:trPr>
          <w:trHeight w:val="340"/>
          <w:jc w:val="center"/>
        </w:trPr>
        <w:tc>
          <w:tcPr>
            <w:tcW w:w="495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45298" w:rsidRPr="00245298" w:rsidRDefault="00245298" w:rsidP="002125AB">
            <w:pPr>
              <w:spacing w:after="0"/>
              <w:rPr>
                <w:b/>
                <w:lang w:bidi="cs-CZ"/>
              </w:rPr>
            </w:pPr>
            <w:r w:rsidRPr="00245298">
              <w:rPr>
                <w:b/>
                <w:lang w:bidi="cs-CZ"/>
              </w:rPr>
              <w:t>kapsovina</w:t>
            </w:r>
          </w:p>
        </w:tc>
        <w:tc>
          <w:tcPr>
            <w:tcW w:w="4115" w:type="dxa"/>
            <w:shd w:val="clear" w:color="auto" w:fill="FFFFFF"/>
            <w:vAlign w:val="center"/>
          </w:tcPr>
          <w:p w:rsidR="00245298" w:rsidRPr="00245298" w:rsidRDefault="00245298" w:rsidP="002125AB">
            <w:pPr>
              <w:spacing w:after="0"/>
              <w:rPr>
                <w:lang w:bidi="cs-CZ"/>
              </w:rPr>
            </w:pPr>
            <w:r w:rsidRPr="00245298">
              <w:rPr>
                <w:lang w:bidi="cs-CZ"/>
              </w:rPr>
              <w:t>65% polyester/ 35% bavlna</w:t>
            </w:r>
          </w:p>
        </w:tc>
      </w:tr>
      <w:tr w:rsidR="002A5E82" w:rsidRPr="00245298" w:rsidTr="000A13C5">
        <w:trPr>
          <w:trHeight w:val="340"/>
          <w:jc w:val="center"/>
        </w:trPr>
        <w:tc>
          <w:tcPr>
            <w:tcW w:w="495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A5E82" w:rsidRPr="00245298" w:rsidRDefault="002A5E82" w:rsidP="002A5E82">
            <w:pPr>
              <w:spacing w:after="0"/>
              <w:rPr>
                <w:b/>
                <w:lang w:bidi="cs-CZ"/>
              </w:rPr>
            </w:pPr>
            <w:r w:rsidRPr="00245298">
              <w:rPr>
                <w:b/>
                <w:lang w:bidi="cs-CZ"/>
              </w:rPr>
              <w:t>nitě</w:t>
            </w:r>
          </w:p>
        </w:tc>
        <w:tc>
          <w:tcPr>
            <w:tcW w:w="4115" w:type="dxa"/>
            <w:shd w:val="clear" w:color="auto" w:fill="FFFFFF"/>
            <w:vAlign w:val="center"/>
          </w:tcPr>
          <w:p w:rsidR="002A5E82" w:rsidRPr="00245298" w:rsidRDefault="002A5E82" w:rsidP="002A5E82">
            <w:pPr>
              <w:spacing w:after="0"/>
              <w:rPr>
                <w:lang w:bidi="cs-CZ"/>
              </w:rPr>
            </w:pPr>
            <w:r w:rsidRPr="00245298">
              <w:rPr>
                <w:lang w:bidi="cs-CZ"/>
              </w:rPr>
              <w:t>100% polyester</w:t>
            </w:r>
          </w:p>
        </w:tc>
      </w:tr>
      <w:tr w:rsidR="002A5E82" w:rsidRPr="00245298" w:rsidTr="000A13C5">
        <w:trPr>
          <w:trHeight w:val="340"/>
          <w:jc w:val="center"/>
        </w:trPr>
        <w:tc>
          <w:tcPr>
            <w:tcW w:w="495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A5E82" w:rsidRPr="00245298" w:rsidRDefault="002A5E82" w:rsidP="002A5E82">
            <w:pPr>
              <w:spacing w:after="0"/>
              <w:rPr>
                <w:b/>
                <w:lang w:bidi="cs-CZ"/>
              </w:rPr>
            </w:pPr>
            <w:r>
              <w:rPr>
                <w:b/>
                <w:lang w:bidi="cs-CZ"/>
              </w:rPr>
              <w:t>nitě obnitkovací</w:t>
            </w:r>
          </w:p>
        </w:tc>
        <w:tc>
          <w:tcPr>
            <w:tcW w:w="4115" w:type="dxa"/>
            <w:shd w:val="clear" w:color="auto" w:fill="FFFFFF"/>
            <w:vAlign w:val="center"/>
          </w:tcPr>
          <w:p w:rsidR="002A5E82" w:rsidRPr="00245298" w:rsidRDefault="002A5E82" w:rsidP="002A5E82">
            <w:pPr>
              <w:spacing w:after="0"/>
              <w:rPr>
                <w:lang w:bidi="cs-CZ"/>
              </w:rPr>
            </w:pPr>
            <w:r>
              <w:rPr>
                <w:lang w:bidi="cs-CZ"/>
              </w:rPr>
              <w:t>100% polyester</w:t>
            </w:r>
          </w:p>
        </w:tc>
      </w:tr>
      <w:tr w:rsidR="002A5E82" w:rsidRPr="00245298" w:rsidTr="000A13C5">
        <w:trPr>
          <w:trHeight w:val="340"/>
          <w:jc w:val="center"/>
        </w:trPr>
        <w:tc>
          <w:tcPr>
            <w:tcW w:w="495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A5E82" w:rsidRPr="00245298" w:rsidRDefault="002A5E82" w:rsidP="002A5E82">
            <w:pPr>
              <w:spacing w:after="0"/>
              <w:rPr>
                <w:b/>
                <w:lang w:bidi="cs-CZ"/>
              </w:rPr>
            </w:pPr>
            <w:r>
              <w:rPr>
                <w:b/>
                <w:lang w:bidi="cs-CZ"/>
              </w:rPr>
              <w:t>knoflík</w:t>
            </w:r>
          </w:p>
        </w:tc>
        <w:tc>
          <w:tcPr>
            <w:tcW w:w="4115" w:type="dxa"/>
            <w:shd w:val="clear" w:color="auto" w:fill="FFFFFF"/>
            <w:vAlign w:val="center"/>
          </w:tcPr>
          <w:p w:rsidR="002A5E82" w:rsidRPr="00245298" w:rsidRDefault="002A5E82" w:rsidP="002A5E82">
            <w:pPr>
              <w:spacing w:after="0"/>
              <w:rPr>
                <w:lang w:bidi="cs-CZ"/>
              </w:rPr>
            </w:pPr>
            <w:r>
              <w:rPr>
                <w:lang w:bidi="cs-CZ"/>
              </w:rPr>
              <w:t>100% polyester</w:t>
            </w:r>
          </w:p>
        </w:tc>
      </w:tr>
      <w:tr w:rsidR="00EB7BF3" w:rsidRPr="00245298" w:rsidTr="008D4275">
        <w:trPr>
          <w:trHeight w:val="340"/>
          <w:jc w:val="center"/>
        </w:trPr>
        <w:tc>
          <w:tcPr>
            <w:tcW w:w="4957" w:type="dxa"/>
            <w:shd w:val="clear" w:color="auto" w:fill="FFFFFF"/>
            <w:vAlign w:val="center"/>
          </w:tcPr>
          <w:p w:rsidR="00EB7BF3" w:rsidRPr="00245298" w:rsidRDefault="00EB7BF3" w:rsidP="00EB7BF3">
            <w:pPr>
              <w:spacing w:after="0"/>
              <w:rPr>
                <w:b/>
                <w:lang w:bidi="cs-CZ"/>
              </w:rPr>
            </w:pPr>
            <w:r>
              <w:rPr>
                <w:b/>
                <w:lang w:bidi="cs-CZ"/>
              </w:rPr>
              <w:t>fixační vložka</w:t>
            </w:r>
          </w:p>
        </w:tc>
        <w:tc>
          <w:tcPr>
            <w:tcW w:w="4115" w:type="dxa"/>
            <w:shd w:val="clear" w:color="auto" w:fill="FFFFFF"/>
            <w:vAlign w:val="center"/>
          </w:tcPr>
          <w:p w:rsidR="00EB7BF3" w:rsidRPr="00245298" w:rsidRDefault="00EB7BF3" w:rsidP="00EB7BF3">
            <w:pPr>
              <w:spacing w:after="0"/>
              <w:rPr>
                <w:lang w:bidi="cs-CZ"/>
              </w:rPr>
            </w:pPr>
          </w:p>
        </w:tc>
      </w:tr>
      <w:tr w:rsidR="00EB7BF3" w:rsidRPr="00245298" w:rsidTr="008D4275">
        <w:trPr>
          <w:trHeight w:val="340"/>
          <w:jc w:val="center"/>
        </w:trPr>
        <w:tc>
          <w:tcPr>
            <w:tcW w:w="4957" w:type="dxa"/>
            <w:shd w:val="clear" w:color="auto" w:fill="FFFFFF"/>
            <w:vAlign w:val="center"/>
          </w:tcPr>
          <w:p w:rsidR="00EB7BF3" w:rsidRPr="00245298" w:rsidRDefault="00EB7BF3" w:rsidP="00EB7BF3">
            <w:pPr>
              <w:spacing w:after="0"/>
              <w:rPr>
                <w:b/>
                <w:lang w:bidi="cs-CZ"/>
              </w:rPr>
            </w:pPr>
            <w:r>
              <w:rPr>
                <w:b/>
                <w:lang w:bidi="cs-CZ"/>
              </w:rPr>
              <w:t>fixační perforovaná výztuž 10-35-10</w:t>
            </w:r>
          </w:p>
        </w:tc>
        <w:tc>
          <w:tcPr>
            <w:tcW w:w="4115" w:type="dxa"/>
            <w:shd w:val="clear" w:color="auto" w:fill="FFFFFF"/>
            <w:vAlign w:val="center"/>
          </w:tcPr>
          <w:p w:rsidR="00EB7BF3" w:rsidRPr="00245298" w:rsidRDefault="00EB7BF3" w:rsidP="00EB7BF3">
            <w:pPr>
              <w:spacing w:after="0"/>
              <w:rPr>
                <w:lang w:bidi="cs-CZ"/>
              </w:rPr>
            </w:pPr>
          </w:p>
        </w:tc>
      </w:tr>
      <w:tr w:rsidR="00EB7BF3" w:rsidRPr="00245298" w:rsidTr="00C12CEC">
        <w:trPr>
          <w:trHeight w:val="340"/>
          <w:jc w:val="center"/>
        </w:trPr>
        <w:tc>
          <w:tcPr>
            <w:tcW w:w="4957" w:type="dxa"/>
            <w:shd w:val="clear" w:color="auto" w:fill="FFFFFF"/>
            <w:vAlign w:val="center"/>
          </w:tcPr>
          <w:p w:rsidR="00EB7BF3" w:rsidRPr="00245298" w:rsidRDefault="002A5E82" w:rsidP="00EB7BF3">
            <w:pPr>
              <w:spacing w:after="0"/>
              <w:rPr>
                <w:b/>
                <w:lang w:bidi="cs-CZ"/>
              </w:rPr>
            </w:pPr>
            <w:r>
              <w:rPr>
                <w:b/>
                <w:lang w:bidi="cs-CZ"/>
              </w:rPr>
              <w:t>a</w:t>
            </w:r>
            <w:r w:rsidR="00EB7BF3">
              <w:rPr>
                <w:b/>
                <w:lang w:bidi="cs-CZ"/>
              </w:rPr>
              <w:t>utospona</w:t>
            </w:r>
            <w:r>
              <w:rPr>
                <w:b/>
                <w:lang w:bidi="cs-CZ"/>
              </w:rPr>
              <w:t xml:space="preserve"> kovová</w:t>
            </w:r>
          </w:p>
        </w:tc>
        <w:tc>
          <w:tcPr>
            <w:tcW w:w="4115" w:type="dxa"/>
            <w:shd w:val="clear" w:color="auto" w:fill="FFFFFF"/>
            <w:vAlign w:val="center"/>
          </w:tcPr>
          <w:p w:rsidR="00EB7BF3" w:rsidRPr="00245298" w:rsidRDefault="00EB7BF3" w:rsidP="00EB7BF3">
            <w:pPr>
              <w:spacing w:after="0"/>
              <w:rPr>
                <w:lang w:bidi="cs-CZ"/>
              </w:rPr>
            </w:pPr>
          </w:p>
        </w:tc>
      </w:tr>
      <w:tr w:rsidR="00EB7BF3" w:rsidRPr="00245298" w:rsidTr="00C12CEC">
        <w:trPr>
          <w:trHeight w:val="340"/>
          <w:jc w:val="center"/>
        </w:trPr>
        <w:tc>
          <w:tcPr>
            <w:tcW w:w="4957" w:type="dxa"/>
            <w:shd w:val="clear" w:color="auto" w:fill="FFFFFF"/>
            <w:vAlign w:val="center"/>
          </w:tcPr>
          <w:p w:rsidR="00EB7BF3" w:rsidRPr="00245298" w:rsidRDefault="002A5E82" w:rsidP="00EB7BF3">
            <w:pPr>
              <w:spacing w:after="0"/>
              <w:rPr>
                <w:b/>
                <w:lang w:bidi="cs-CZ"/>
              </w:rPr>
            </w:pPr>
            <w:r>
              <w:rPr>
                <w:b/>
                <w:lang w:bidi="cs-CZ"/>
              </w:rPr>
              <w:t>z</w:t>
            </w:r>
            <w:r w:rsidR="00EB7BF3">
              <w:rPr>
                <w:b/>
                <w:lang w:bidi="cs-CZ"/>
              </w:rPr>
              <w:t>drhovadlo</w:t>
            </w:r>
            <w:r>
              <w:rPr>
                <w:b/>
                <w:lang w:bidi="cs-CZ"/>
              </w:rPr>
              <w:t xml:space="preserve"> spirálové</w:t>
            </w:r>
          </w:p>
        </w:tc>
        <w:tc>
          <w:tcPr>
            <w:tcW w:w="4115" w:type="dxa"/>
            <w:shd w:val="clear" w:color="auto" w:fill="FFFFFF"/>
            <w:vAlign w:val="center"/>
          </w:tcPr>
          <w:p w:rsidR="00EB7BF3" w:rsidRPr="00245298" w:rsidRDefault="00EB7BF3" w:rsidP="00EB7BF3">
            <w:pPr>
              <w:spacing w:after="0"/>
              <w:rPr>
                <w:lang w:bidi="cs-CZ"/>
              </w:rPr>
            </w:pPr>
          </w:p>
        </w:tc>
      </w:tr>
      <w:tr w:rsidR="00EB7BF3" w:rsidRPr="00245298" w:rsidTr="000A13C5">
        <w:trPr>
          <w:trHeight w:val="340"/>
          <w:jc w:val="center"/>
        </w:trPr>
        <w:tc>
          <w:tcPr>
            <w:tcW w:w="495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B7BF3" w:rsidRDefault="00EB7BF3" w:rsidP="00EB7BF3">
            <w:pPr>
              <w:spacing w:after="0"/>
              <w:rPr>
                <w:b/>
                <w:lang w:bidi="cs-CZ"/>
              </w:rPr>
            </w:pPr>
            <w:r>
              <w:rPr>
                <w:b/>
                <w:lang w:bidi="cs-CZ"/>
              </w:rPr>
              <w:t>kalhotový hák a očko</w:t>
            </w:r>
          </w:p>
        </w:tc>
        <w:tc>
          <w:tcPr>
            <w:tcW w:w="4115" w:type="dxa"/>
            <w:shd w:val="clear" w:color="auto" w:fill="FFFFFF"/>
            <w:vAlign w:val="center"/>
          </w:tcPr>
          <w:p w:rsidR="00EB7BF3" w:rsidRPr="00245298" w:rsidRDefault="00EB7BF3" w:rsidP="00EB7BF3">
            <w:pPr>
              <w:spacing w:after="0"/>
              <w:rPr>
                <w:lang w:bidi="cs-CZ"/>
              </w:rPr>
            </w:pPr>
          </w:p>
        </w:tc>
      </w:tr>
      <w:tr w:rsidR="007655ED" w:rsidRPr="00245298" w:rsidTr="000A13C5">
        <w:trPr>
          <w:trHeight w:val="340"/>
          <w:jc w:val="center"/>
        </w:trPr>
        <w:tc>
          <w:tcPr>
            <w:tcW w:w="495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655ED" w:rsidRDefault="007655ED" w:rsidP="00EB7BF3">
            <w:pPr>
              <w:spacing w:after="0"/>
              <w:rPr>
                <w:b/>
                <w:lang w:bidi="cs-CZ"/>
              </w:rPr>
            </w:pPr>
            <w:r>
              <w:rPr>
                <w:b/>
                <w:lang w:bidi="cs-CZ"/>
              </w:rPr>
              <w:t>kalhotové chránítko</w:t>
            </w:r>
          </w:p>
        </w:tc>
        <w:tc>
          <w:tcPr>
            <w:tcW w:w="4115" w:type="dxa"/>
            <w:shd w:val="clear" w:color="auto" w:fill="FFFFFF"/>
            <w:vAlign w:val="center"/>
          </w:tcPr>
          <w:p w:rsidR="007655ED" w:rsidRPr="00245298" w:rsidRDefault="007655ED" w:rsidP="00EB7BF3">
            <w:pPr>
              <w:spacing w:after="0"/>
              <w:rPr>
                <w:lang w:bidi="cs-CZ"/>
              </w:rPr>
            </w:pPr>
          </w:p>
        </w:tc>
      </w:tr>
      <w:tr w:rsidR="00EB7BF3" w:rsidRPr="00245298" w:rsidTr="000A13C5">
        <w:trPr>
          <w:trHeight w:val="340"/>
          <w:jc w:val="center"/>
        </w:trPr>
        <w:tc>
          <w:tcPr>
            <w:tcW w:w="495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B7BF3" w:rsidRDefault="00EB7BF3" w:rsidP="00EB7BF3">
            <w:pPr>
              <w:spacing w:after="0"/>
              <w:rPr>
                <w:b/>
                <w:lang w:bidi="cs-CZ"/>
              </w:rPr>
            </w:pPr>
            <w:r>
              <w:rPr>
                <w:b/>
                <w:lang w:bidi="cs-CZ"/>
              </w:rPr>
              <w:t>veltonový proužek</w:t>
            </w:r>
          </w:p>
        </w:tc>
        <w:tc>
          <w:tcPr>
            <w:tcW w:w="4115" w:type="dxa"/>
            <w:shd w:val="clear" w:color="auto" w:fill="FFFFFF"/>
            <w:vAlign w:val="center"/>
          </w:tcPr>
          <w:p w:rsidR="00EB7BF3" w:rsidRPr="00245298" w:rsidRDefault="00EB7BF3" w:rsidP="00EB7BF3">
            <w:pPr>
              <w:spacing w:after="0"/>
              <w:rPr>
                <w:lang w:bidi="cs-CZ"/>
              </w:rPr>
            </w:pPr>
          </w:p>
        </w:tc>
      </w:tr>
      <w:tr w:rsidR="00EB7BF3" w:rsidRPr="00245298" w:rsidTr="000A13C5">
        <w:trPr>
          <w:trHeight w:val="340"/>
          <w:jc w:val="center"/>
        </w:trPr>
        <w:tc>
          <w:tcPr>
            <w:tcW w:w="495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B7BF3" w:rsidRDefault="00EB7BF3" w:rsidP="00EB7BF3">
            <w:pPr>
              <w:spacing w:after="0"/>
              <w:rPr>
                <w:b/>
                <w:lang w:bidi="cs-CZ"/>
              </w:rPr>
            </w:pPr>
            <w:r>
              <w:rPr>
                <w:b/>
                <w:lang w:bidi="cs-CZ"/>
              </w:rPr>
              <w:t>tkaná etiketa výrobce</w:t>
            </w:r>
          </w:p>
        </w:tc>
        <w:tc>
          <w:tcPr>
            <w:tcW w:w="4115" w:type="dxa"/>
            <w:shd w:val="clear" w:color="auto" w:fill="FFFFFF"/>
            <w:vAlign w:val="center"/>
          </w:tcPr>
          <w:p w:rsidR="00EB7BF3" w:rsidRPr="00245298" w:rsidRDefault="00EB7BF3" w:rsidP="00EB7BF3">
            <w:pPr>
              <w:spacing w:after="0"/>
              <w:rPr>
                <w:lang w:bidi="cs-CZ"/>
              </w:rPr>
            </w:pPr>
          </w:p>
        </w:tc>
      </w:tr>
    </w:tbl>
    <w:p w:rsidR="00433B2A" w:rsidRDefault="00433B2A" w:rsidP="00433B2A">
      <w:pPr>
        <w:spacing w:after="0"/>
        <w:rPr>
          <w:lang w:bidi="cs-CZ"/>
        </w:rPr>
      </w:pPr>
    </w:p>
    <w:p w:rsidR="002125AB" w:rsidRDefault="002125AB" w:rsidP="008D4275">
      <w:pPr>
        <w:numPr>
          <w:ilvl w:val="1"/>
          <w:numId w:val="1"/>
        </w:numPr>
        <w:spacing w:after="0"/>
        <w:rPr>
          <w:lang w:bidi="cs-CZ"/>
        </w:rPr>
      </w:pPr>
      <w:r w:rsidRPr="00245298">
        <w:rPr>
          <w:lang w:bidi="cs-CZ"/>
        </w:rPr>
        <w:t>Technické parametry použitého vrchového a podšívkového materiálu a odpovídající zku</w:t>
      </w:r>
      <w:r>
        <w:rPr>
          <w:lang w:bidi="cs-CZ"/>
        </w:rPr>
        <w:t>šební metody jsou uvedeny v tabulkách</w:t>
      </w:r>
      <w:r w:rsidRPr="00245298">
        <w:rPr>
          <w:lang w:bidi="cs-CZ"/>
        </w:rPr>
        <w:t>.</w:t>
      </w:r>
    </w:p>
    <w:p w:rsidR="002125AB" w:rsidRDefault="002125AB" w:rsidP="002125AB">
      <w:pPr>
        <w:spacing w:after="0"/>
        <w:rPr>
          <w:lang w:bidi="cs-CZ"/>
        </w:rPr>
      </w:pPr>
    </w:p>
    <w:p w:rsidR="002125AB" w:rsidRDefault="002125AB" w:rsidP="002125AB">
      <w:pPr>
        <w:spacing w:after="0"/>
        <w:rPr>
          <w:b/>
          <w:lang w:bidi="cs-CZ"/>
        </w:rPr>
      </w:pPr>
      <w:r w:rsidRPr="00A652E9">
        <w:rPr>
          <w:b/>
          <w:lang w:bidi="cs-CZ"/>
        </w:rPr>
        <w:t>Vrchový materiál:</w:t>
      </w:r>
    </w:p>
    <w:p w:rsidR="0028021D" w:rsidRDefault="0028021D" w:rsidP="002125AB">
      <w:pPr>
        <w:spacing w:after="0"/>
        <w:rPr>
          <w:b/>
          <w:lang w:bidi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14"/>
        <w:gridCol w:w="2922"/>
        <w:gridCol w:w="3018"/>
      </w:tblGrid>
      <w:tr w:rsidR="0028021D" w:rsidTr="00B2232C">
        <w:trPr>
          <w:trHeight w:val="397"/>
        </w:trPr>
        <w:tc>
          <w:tcPr>
            <w:tcW w:w="3114" w:type="dxa"/>
            <w:shd w:val="clear" w:color="auto" w:fill="auto"/>
            <w:vAlign w:val="center"/>
          </w:tcPr>
          <w:p w:rsidR="0028021D" w:rsidRPr="00245298" w:rsidRDefault="0028021D" w:rsidP="00B2232C">
            <w:pPr>
              <w:rPr>
                <w:b/>
                <w:lang w:bidi="cs-CZ"/>
              </w:rPr>
            </w:pPr>
            <w:r w:rsidRPr="00245298">
              <w:rPr>
                <w:b/>
                <w:lang w:bidi="cs-CZ"/>
              </w:rPr>
              <w:t>Parametr</w:t>
            </w:r>
          </w:p>
        </w:tc>
        <w:tc>
          <w:tcPr>
            <w:tcW w:w="2922" w:type="dxa"/>
            <w:shd w:val="clear" w:color="auto" w:fill="auto"/>
            <w:vAlign w:val="center"/>
          </w:tcPr>
          <w:p w:rsidR="0028021D" w:rsidRPr="00245298" w:rsidRDefault="0028021D" w:rsidP="00B2232C">
            <w:pPr>
              <w:rPr>
                <w:b/>
                <w:lang w:bidi="cs-CZ"/>
              </w:rPr>
            </w:pPr>
            <w:r w:rsidRPr="00245298">
              <w:rPr>
                <w:b/>
                <w:lang w:bidi="cs-CZ"/>
              </w:rPr>
              <w:t>Zkušební metoda, norma</w:t>
            </w:r>
          </w:p>
        </w:tc>
        <w:tc>
          <w:tcPr>
            <w:tcW w:w="3018" w:type="dxa"/>
            <w:shd w:val="clear" w:color="auto" w:fill="auto"/>
            <w:vAlign w:val="center"/>
          </w:tcPr>
          <w:p w:rsidR="0028021D" w:rsidRPr="00245298" w:rsidRDefault="0028021D" w:rsidP="00B2232C">
            <w:pPr>
              <w:rPr>
                <w:b/>
                <w:lang w:bidi="cs-CZ"/>
              </w:rPr>
            </w:pPr>
            <w:r w:rsidRPr="00245298">
              <w:rPr>
                <w:b/>
                <w:lang w:bidi="cs-CZ"/>
              </w:rPr>
              <w:t>Hodnota</w:t>
            </w:r>
          </w:p>
        </w:tc>
      </w:tr>
      <w:tr w:rsidR="0028021D" w:rsidTr="00B2232C">
        <w:trPr>
          <w:trHeight w:val="397"/>
        </w:trPr>
        <w:tc>
          <w:tcPr>
            <w:tcW w:w="3114" w:type="dxa"/>
            <w:vAlign w:val="center"/>
          </w:tcPr>
          <w:p w:rsidR="0028021D" w:rsidRPr="00245298" w:rsidRDefault="0028021D" w:rsidP="00B2232C">
            <w:pPr>
              <w:rPr>
                <w:lang w:bidi="cs-CZ"/>
              </w:rPr>
            </w:pPr>
            <w:r w:rsidRPr="00245298">
              <w:rPr>
                <w:lang w:bidi="cs-CZ"/>
              </w:rPr>
              <w:t>Materiálové složení</w:t>
            </w:r>
          </w:p>
        </w:tc>
        <w:tc>
          <w:tcPr>
            <w:tcW w:w="2922" w:type="dxa"/>
            <w:vAlign w:val="center"/>
          </w:tcPr>
          <w:p w:rsidR="0028021D" w:rsidRPr="00245298" w:rsidRDefault="0028021D" w:rsidP="00B2232C">
            <w:pPr>
              <w:rPr>
                <w:lang w:bidi="cs-CZ"/>
              </w:rPr>
            </w:pPr>
          </w:p>
        </w:tc>
        <w:tc>
          <w:tcPr>
            <w:tcW w:w="3018" w:type="dxa"/>
            <w:vAlign w:val="center"/>
          </w:tcPr>
          <w:p w:rsidR="0028021D" w:rsidRDefault="0028021D" w:rsidP="00B2232C">
            <w:pPr>
              <w:jc w:val="center"/>
              <w:rPr>
                <w:lang w:bidi="cs-CZ"/>
              </w:rPr>
            </w:pPr>
            <w:r w:rsidRPr="00245298">
              <w:rPr>
                <w:lang w:bidi="cs-CZ"/>
              </w:rPr>
              <w:t xml:space="preserve">51% vlna/ 46% polyester/ </w:t>
            </w:r>
          </w:p>
          <w:p w:rsidR="0028021D" w:rsidRPr="00245298" w:rsidRDefault="0028021D" w:rsidP="00B2232C">
            <w:pPr>
              <w:jc w:val="center"/>
              <w:rPr>
                <w:lang w:bidi="cs-CZ"/>
              </w:rPr>
            </w:pPr>
            <w:proofErr w:type="gramStart"/>
            <w:r w:rsidRPr="00245298">
              <w:rPr>
                <w:lang w:bidi="cs-CZ"/>
              </w:rPr>
              <w:t>3%</w:t>
            </w:r>
            <w:proofErr w:type="gramEnd"/>
            <w:r w:rsidRPr="00245298">
              <w:rPr>
                <w:lang w:bidi="cs-CZ"/>
              </w:rPr>
              <w:t xml:space="preserve"> elastan</w:t>
            </w:r>
          </w:p>
        </w:tc>
      </w:tr>
      <w:tr w:rsidR="0028021D" w:rsidTr="00B2232C">
        <w:trPr>
          <w:trHeight w:val="397"/>
        </w:trPr>
        <w:tc>
          <w:tcPr>
            <w:tcW w:w="3114" w:type="dxa"/>
            <w:shd w:val="clear" w:color="auto" w:fill="auto"/>
            <w:vAlign w:val="center"/>
          </w:tcPr>
          <w:p w:rsidR="0028021D" w:rsidRPr="00245298" w:rsidRDefault="0028021D" w:rsidP="00B2232C">
            <w:pPr>
              <w:rPr>
                <w:lang w:val="cs"/>
              </w:rPr>
            </w:pPr>
            <w:r w:rsidRPr="00245298">
              <w:rPr>
                <w:lang w:val="cs"/>
              </w:rPr>
              <w:t xml:space="preserve">Barva dle trichromatických </w:t>
            </w:r>
          </w:p>
          <w:p w:rsidR="0028021D" w:rsidRPr="00245298" w:rsidRDefault="0028021D" w:rsidP="00B2232C">
            <w:pPr>
              <w:rPr>
                <w:lang w:val="cs"/>
              </w:rPr>
            </w:pPr>
            <w:r w:rsidRPr="00245298">
              <w:rPr>
                <w:lang w:val="cs"/>
              </w:rPr>
              <w:t>souřadnic CieLab</w:t>
            </w:r>
          </w:p>
          <w:p w:rsidR="0028021D" w:rsidRPr="00245298" w:rsidRDefault="0028021D" w:rsidP="00B2232C">
            <w:pPr>
              <w:rPr>
                <w:lang w:val="cs"/>
              </w:rPr>
            </w:pPr>
            <w:r w:rsidRPr="00245298">
              <w:rPr>
                <w:lang w:val="cs"/>
              </w:rPr>
              <w:t>Barva: Tmavomodrá</w:t>
            </w:r>
          </w:p>
        </w:tc>
        <w:tc>
          <w:tcPr>
            <w:tcW w:w="2922" w:type="dxa"/>
            <w:shd w:val="clear" w:color="auto" w:fill="auto"/>
            <w:vAlign w:val="center"/>
          </w:tcPr>
          <w:p w:rsidR="0028021D" w:rsidRPr="00245298" w:rsidRDefault="0028021D" w:rsidP="00B2232C">
            <w:pPr>
              <w:rPr>
                <w:lang w:val="cs"/>
              </w:rPr>
            </w:pPr>
            <w:r w:rsidRPr="00245298">
              <w:rPr>
                <w:lang w:val="cs"/>
              </w:rPr>
              <w:t xml:space="preserve">ČSN EN ISO </w:t>
            </w:r>
            <w:proofErr w:type="gramStart"/>
            <w:r w:rsidRPr="00245298">
              <w:rPr>
                <w:lang w:val="cs"/>
              </w:rPr>
              <w:t>105-J01</w:t>
            </w:r>
            <w:proofErr w:type="gramEnd"/>
          </w:p>
          <w:p w:rsidR="0028021D" w:rsidRPr="00245298" w:rsidRDefault="0028021D" w:rsidP="00B2232C">
            <w:pPr>
              <w:rPr>
                <w:lang w:val="cs"/>
              </w:rPr>
            </w:pPr>
            <w:r w:rsidRPr="00245298">
              <w:rPr>
                <w:lang w:val="cs"/>
              </w:rPr>
              <w:t xml:space="preserve">ČSN EN </w:t>
            </w:r>
            <w:proofErr w:type="gramStart"/>
            <w:r w:rsidRPr="00245298">
              <w:rPr>
                <w:lang w:val="cs"/>
              </w:rPr>
              <w:t>20105-A02</w:t>
            </w:r>
            <w:proofErr w:type="gramEnd"/>
          </w:p>
        </w:tc>
        <w:tc>
          <w:tcPr>
            <w:tcW w:w="3018" w:type="dxa"/>
            <w:shd w:val="clear" w:color="auto" w:fill="auto"/>
            <w:vAlign w:val="center"/>
          </w:tcPr>
          <w:p w:rsidR="0028021D" w:rsidRPr="00245298" w:rsidRDefault="0028021D" w:rsidP="00B2232C">
            <w:pPr>
              <w:jc w:val="center"/>
              <w:rPr>
                <w:lang w:val="cs"/>
              </w:rPr>
            </w:pPr>
            <w:r w:rsidRPr="00245298">
              <w:rPr>
                <w:lang w:val="cs"/>
              </w:rPr>
              <w:t>L= 16,08</w:t>
            </w:r>
          </w:p>
          <w:p w:rsidR="0028021D" w:rsidRPr="00245298" w:rsidRDefault="0028021D" w:rsidP="00B2232C">
            <w:pPr>
              <w:jc w:val="center"/>
              <w:rPr>
                <w:lang w:val="cs"/>
              </w:rPr>
            </w:pPr>
            <w:r w:rsidRPr="00245298">
              <w:rPr>
                <w:lang w:val="cs"/>
              </w:rPr>
              <w:t>a= 0,70</w:t>
            </w:r>
          </w:p>
          <w:p w:rsidR="0028021D" w:rsidRPr="00245298" w:rsidRDefault="0028021D" w:rsidP="00B2232C">
            <w:pPr>
              <w:jc w:val="center"/>
              <w:rPr>
                <w:lang w:val="cs"/>
              </w:rPr>
            </w:pPr>
            <w:r w:rsidRPr="00245298">
              <w:rPr>
                <w:lang w:val="cs"/>
              </w:rPr>
              <w:t>b= -4,74</w:t>
            </w:r>
          </w:p>
          <w:p w:rsidR="0028021D" w:rsidRPr="00245298" w:rsidRDefault="0028021D" w:rsidP="00B2232C">
            <w:pPr>
              <w:jc w:val="center"/>
              <w:rPr>
                <w:lang w:val="cs"/>
              </w:rPr>
            </w:pPr>
            <w:r w:rsidRPr="00245298">
              <w:rPr>
                <w:lang w:val="cs"/>
              </w:rPr>
              <w:t>povolená barevná odchylka</w:t>
            </w:r>
          </w:p>
          <w:p w:rsidR="0028021D" w:rsidRPr="00245298" w:rsidRDefault="0028021D" w:rsidP="00B2232C">
            <w:pPr>
              <w:jc w:val="center"/>
              <w:rPr>
                <w:lang w:val="cs"/>
              </w:rPr>
            </w:pPr>
            <w:r w:rsidRPr="00245298">
              <w:rPr>
                <w:lang w:val="cs"/>
              </w:rPr>
              <w:t>stupeň 4 šedé stupnice</w:t>
            </w:r>
          </w:p>
        </w:tc>
      </w:tr>
      <w:tr w:rsidR="0028021D" w:rsidTr="00B2232C">
        <w:trPr>
          <w:trHeight w:val="397"/>
        </w:trPr>
        <w:tc>
          <w:tcPr>
            <w:tcW w:w="3114" w:type="dxa"/>
            <w:vAlign w:val="center"/>
          </w:tcPr>
          <w:p w:rsidR="0028021D" w:rsidRPr="00245298" w:rsidRDefault="0028021D" w:rsidP="00B2232C">
            <w:pPr>
              <w:rPr>
                <w:lang w:bidi="cs-CZ"/>
              </w:rPr>
            </w:pPr>
            <w:r w:rsidRPr="00245298">
              <w:rPr>
                <w:lang w:bidi="cs-CZ"/>
              </w:rPr>
              <w:t>Úprava</w:t>
            </w:r>
          </w:p>
        </w:tc>
        <w:tc>
          <w:tcPr>
            <w:tcW w:w="2922" w:type="dxa"/>
            <w:vAlign w:val="center"/>
          </w:tcPr>
          <w:p w:rsidR="0028021D" w:rsidRPr="00245298" w:rsidRDefault="0028021D" w:rsidP="00B2232C">
            <w:pPr>
              <w:rPr>
                <w:lang w:bidi="cs-CZ"/>
              </w:rPr>
            </w:pPr>
          </w:p>
        </w:tc>
        <w:tc>
          <w:tcPr>
            <w:tcW w:w="3018" w:type="dxa"/>
            <w:vAlign w:val="center"/>
          </w:tcPr>
          <w:p w:rsidR="0028021D" w:rsidRDefault="0028021D" w:rsidP="00B2232C">
            <w:pPr>
              <w:jc w:val="center"/>
              <w:rPr>
                <w:lang w:bidi="cs-CZ"/>
              </w:rPr>
            </w:pPr>
            <w:r w:rsidRPr="00245298">
              <w:rPr>
                <w:lang w:bidi="cs-CZ"/>
              </w:rPr>
              <w:t xml:space="preserve">NANO </w:t>
            </w:r>
            <w:r>
              <w:rPr>
                <w:lang w:bidi="cs-CZ"/>
              </w:rPr>
              <w:t>–</w:t>
            </w:r>
            <w:r w:rsidRPr="00245298">
              <w:rPr>
                <w:lang w:bidi="cs-CZ"/>
              </w:rPr>
              <w:t xml:space="preserve"> nešpinivá</w:t>
            </w:r>
          </w:p>
          <w:p w:rsidR="0028021D" w:rsidRPr="00245298" w:rsidRDefault="0028021D" w:rsidP="00B2232C">
            <w:pPr>
              <w:jc w:val="center"/>
              <w:rPr>
                <w:lang w:bidi="cs-CZ"/>
              </w:rPr>
            </w:pPr>
            <w:r w:rsidRPr="00245298">
              <w:rPr>
                <w:lang w:bidi="cs-CZ"/>
              </w:rPr>
              <w:t>(odpuzující vodu</w:t>
            </w:r>
            <w:r>
              <w:rPr>
                <w:lang w:bidi="cs-CZ"/>
              </w:rPr>
              <w:t xml:space="preserve"> </w:t>
            </w:r>
            <w:r w:rsidRPr="00245298">
              <w:rPr>
                <w:lang w:bidi="cs-CZ"/>
              </w:rPr>
              <w:t>a nečistoty)</w:t>
            </w:r>
          </w:p>
        </w:tc>
      </w:tr>
      <w:tr w:rsidR="0028021D" w:rsidTr="00B2232C">
        <w:trPr>
          <w:trHeight w:val="397"/>
        </w:trPr>
        <w:tc>
          <w:tcPr>
            <w:tcW w:w="3114" w:type="dxa"/>
            <w:vAlign w:val="center"/>
          </w:tcPr>
          <w:p w:rsidR="0028021D" w:rsidRPr="00245298" w:rsidRDefault="0028021D" w:rsidP="00B2232C">
            <w:pPr>
              <w:rPr>
                <w:lang w:bidi="cs-CZ"/>
              </w:rPr>
            </w:pPr>
            <w:r w:rsidRPr="00245298">
              <w:rPr>
                <w:lang w:bidi="cs-CZ"/>
              </w:rPr>
              <w:t xml:space="preserve">Vazba </w:t>
            </w:r>
          </w:p>
        </w:tc>
        <w:tc>
          <w:tcPr>
            <w:tcW w:w="2922" w:type="dxa"/>
            <w:vAlign w:val="center"/>
          </w:tcPr>
          <w:p w:rsidR="0028021D" w:rsidRPr="00245298" w:rsidRDefault="0028021D" w:rsidP="00B2232C">
            <w:pPr>
              <w:rPr>
                <w:lang w:bidi="cs-CZ"/>
              </w:rPr>
            </w:pPr>
          </w:p>
        </w:tc>
        <w:tc>
          <w:tcPr>
            <w:tcW w:w="3018" w:type="dxa"/>
            <w:vAlign w:val="center"/>
          </w:tcPr>
          <w:p w:rsidR="0028021D" w:rsidRPr="00245298" w:rsidRDefault="0028021D" w:rsidP="00B2232C">
            <w:pPr>
              <w:jc w:val="center"/>
              <w:rPr>
                <w:lang w:bidi="cs-CZ"/>
              </w:rPr>
            </w:pPr>
            <w:r w:rsidRPr="00245298">
              <w:rPr>
                <w:lang w:bidi="cs-CZ"/>
              </w:rPr>
              <w:t>plátnová</w:t>
            </w:r>
          </w:p>
        </w:tc>
      </w:tr>
      <w:tr w:rsidR="0028021D" w:rsidTr="00B2232C">
        <w:trPr>
          <w:trHeight w:val="397"/>
        </w:trPr>
        <w:tc>
          <w:tcPr>
            <w:tcW w:w="3114" w:type="dxa"/>
            <w:vAlign w:val="center"/>
          </w:tcPr>
          <w:p w:rsidR="0028021D" w:rsidRPr="00245298" w:rsidRDefault="0028021D" w:rsidP="00B2232C">
            <w:pPr>
              <w:rPr>
                <w:lang w:bidi="cs-CZ"/>
              </w:rPr>
            </w:pPr>
            <w:r w:rsidRPr="00245298">
              <w:rPr>
                <w:lang w:bidi="cs-CZ"/>
              </w:rPr>
              <w:t>Plošná hmotnost</w:t>
            </w:r>
          </w:p>
        </w:tc>
        <w:tc>
          <w:tcPr>
            <w:tcW w:w="2922" w:type="dxa"/>
            <w:vAlign w:val="center"/>
          </w:tcPr>
          <w:p w:rsidR="0028021D" w:rsidRPr="00245298" w:rsidRDefault="0028021D" w:rsidP="00B2232C">
            <w:pPr>
              <w:rPr>
                <w:lang w:bidi="cs-CZ"/>
              </w:rPr>
            </w:pPr>
            <w:r w:rsidRPr="00245298">
              <w:rPr>
                <w:lang w:bidi="cs-CZ"/>
              </w:rPr>
              <w:t>ČSN EN 12127</w:t>
            </w:r>
          </w:p>
        </w:tc>
        <w:tc>
          <w:tcPr>
            <w:tcW w:w="3018" w:type="dxa"/>
            <w:vAlign w:val="center"/>
          </w:tcPr>
          <w:p w:rsidR="0028021D" w:rsidRPr="00245298" w:rsidRDefault="0028021D" w:rsidP="00B2232C">
            <w:pPr>
              <w:jc w:val="center"/>
              <w:rPr>
                <w:lang w:bidi="cs-CZ"/>
              </w:rPr>
            </w:pPr>
            <w:r w:rsidRPr="00245298">
              <w:rPr>
                <w:lang w:bidi="cs-CZ"/>
              </w:rPr>
              <w:t>175 g.m</w:t>
            </w:r>
            <w:r w:rsidRPr="00245298">
              <w:rPr>
                <w:vertAlign w:val="superscript"/>
                <w:lang w:bidi="cs-CZ"/>
              </w:rPr>
              <w:t>-2</w:t>
            </w:r>
            <w:r w:rsidRPr="00245298">
              <w:rPr>
                <w:lang w:bidi="cs-CZ"/>
              </w:rPr>
              <w:t xml:space="preserve"> ± </w:t>
            </w:r>
            <w:proofErr w:type="gramStart"/>
            <w:r w:rsidRPr="00245298">
              <w:rPr>
                <w:lang w:bidi="cs-CZ"/>
              </w:rPr>
              <w:t>5%</w:t>
            </w:r>
            <w:proofErr w:type="gramEnd"/>
          </w:p>
        </w:tc>
      </w:tr>
      <w:tr w:rsidR="0028021D" w:rsidTr="00B2232C">
        <w:trPr>
          <w:trHeight w:val="397"/>
        </w:trPr>
        <w:tc>
          <w:tcPr>
            <w:tcW w:w="3114" w:type="dxa"/>
            <w:vAlign w:val="center"/>
          </w:tcPr>
          <w:p w:rsidR="0028021D" w:rsidRPr="00245298" w:rsidRDefault="0028021D" w:rsidP="00B2232C">
            <w:pPr>
              <w:rPr>
                <w:lang w:bidi="cs-CZ"/>
              </w:rPr>
            </w:pPr>
            <w:r w:rsidRPr="00245298">
              <w:rPr>
                <w:lang w:bidi="cs-CZ"/>
              </w:rPr>
              <w:t xml:space="preserve">Pevnost v dotržení </w:t>
            </w:r>
          </w:p>
          <w:p w:rsidR="0028021D" w:rsidRPr="00245298" w:rsidRDefault="0028021D" w:rsidP="00B2232C">
            <w:pPr>
              <w:rPr>
                <w:lang w:bidi="cs-CZ"/>
              </w:rPr>
            </w:pPr>
            <w:r w:rsidRPr="00245298">
              <w:rPr>
                <w:lang w:bidi="cs-CZ"/>
              </w:rPr>
              <w:lastRenderedPageBreak/>
              <w:t xml:space="preserve">podélně / příčně </w:t>
            </w:r>
          </w:p>
        </w:tc>
        <w:tc>
          <w:tcPr>
            <w:tcW w:w="2922" w:type="dxa"/>
            <w:vAlign w:val="center"/>
          </w:tcPr>
          <w:p w:rsidR="0028021D" w:rsidRPr="00245298" w:rsidRDefault="0028021D" w:rsidP="00B2232C">
            <w:pPr>
              <w:rPr>
                <w:lang w:bidi="cs-CZ"/>
              </w:rPr>
            </w:pPr>
            <w:r w:rsidRPr="00245298">
              <w:rPr>
                <w:lang w:bidi="cs-CZ"/>
              </w:rPr>
              <w:lastRenderedPageBreak/>
              <w:t>ČSN EN ISO 13937-2</w:t>
            </w:r>
          </w:p>
        </w:tc>
        <w:tc>
          <w:tcPr>
            <w:tcW w:w="3018" w:type="dxa"/>
            <w:vAlign w:val="center"/>
          </w:tcPr>
          <w:p w:rsidR="0028021D" w:rsidRPr="00245298" w:rsidRDefault="0028021D" w:rsidP="00B2232C">
            <w:pPr>
              <w:jc w:val="center"/>
              <w:rPr>
                <w:lang w:bidi="cs-CZ"/>
              </w:rPr>
            </w:pPr>
            <w:r>
              <w:rPr>
                <w:lang w:bidi="cs-CZ"/>
              </w:rPr>
              <w:t xml:space="preserve">min. </w:t>
            </w:r>
            <w:r w:rsidR="00C84E87">
              <w:rPr>
                <w:lang w:bidi="cs-CZ"/>
              </w:rPr>
              <w:t>22</w:t>
            </w:r>
            <w:r w:rsidRPr="00245298">
              <w:rPr>
                <w:lang w:bidi="cs-CZ"/>
              </w:rPr>
              <w:t>/</w:t>
            </w:r>
            <w:r w:rsidR="00C84E87">
              <w:rPr>
                <w:lang w:bidi="cs-CZ"/>
              </w:rPr>
              <w:t>2</w:t>
            </w:r>
            <w:r w:rsidRPr="00245298">
              <w:rPr>
                <w:lang w:bidi="cs-CZ"/>
              </w:rPr>
              <w:t>2 N</w:t>
            </w:r>
          </w:p>
        </w:tc>
      </w:tr>
      <w:tr w:rsidR="0028021D" w:rsidTr="00B2232C">
        <w:trPr>
          <w:trHeight w:val="397"/>
        </w:trPr>
        <w:tc>
          <w:tcPr>
            <w:tcW w:w="3114" w:type="dxa"/>
            <w:vAlign w:val="center"/>
          </w:tcPr>
          <w:p w:rsidR="0028021D" w:rsidRPr="00245298" w:rsidRDefault="0028021D" w:rsidP="00B2232C">
            <w:pPr>
              <w:rPr>
                <w:lang w:bidi="cs-CZ"/>
              </w:rPr>
            </w:pPr>
            <w:r w:rsidRPr="00245298">
              <w:rPr>
                <w:lang w:bidi="cs-CZ"/>
              </w:rPr>
              <w:t>Odolnost v oděru</w:t>
            </w:r>
          </w:p>
        </w:tc>
        <w:tc>
          <w:tcPr>
            <w:tcW w:w="2922" w:type="dxa"/>
            <w:vAlign w:val="center"/>
          </w:tcPr>
          <w:p w:rsidR="0028021D" w:rsidRPr="00245298" w:rsidRDefault="0028021D" w:rsidP="00B2232C">
            <w:pPr>
              <w:rPr>
                <w:lang w:bidi="cs-CZ"/>
              </w:rPr>
            </w:pPr>
            <w:r w:rsidRPr="00245298">
              <w:rPr>
                <w:lang w:bidi="cs-CZ"/>
              </w:rPr>
              <w:t>ČSN EN ISO 12947-2</w:t>
            </w:r>
          </w:p>
        </w:tc>
        <w:tc>
          <w:tcPr>
            <w:tcW w:w="3018" w:type="dxa"/>
            <w:vAlign w:val="center"/>
          </w:tcPr>
          <w:p w:rsidR="0028021D" w:rsidRPr="00245298" w:rsidRDefault="0028021D" w:rsidP="00B2232C">
            <w:pPr>
              <w:jc w:val="center"/>
              <w:rPr>
                <w:lang w:bidi="cs-CZ"/>
              </w:rPr>
            </w:pPr>
            <w:r>
              <w:rPr>
                <w:lang w:bidi="cs-CZ"/>
              </w:rPr>
              <w:t xml:space="preserve">min. </w:t>
            </w:r>
            <w:r w:rsidR="00C84E87">
              <w:rPr>
                <w:lang w:bidi="cs-CZ"/>
              </w:rPr>
              <w:t>5</w:t>
            </w:r>
            <w:r w:rsidRPr="00245298">
              <w:rPr>
                <w:lang w:bidi="cs-CZ"/>
              </w:rPr>
              <w:t>5 000 otáček</w:t>
            </w:r>
          </w:p>
        </w:tc>
      </w:tr>
      <w:tr w:rsidR="0028021D" w:rsidTr="00B2232C">
        <w:trPr>
          <w:trHeight w:val="397"/>
        </w:trPr>
        <w:tc>
          <w:tcPr>
            <w:tcW w:w="3114" w:type="dxa"/>
            <w:vAlign w:val="center"/>
          </w:tcPr>
          <w:p w:rsidR="0028021D" w:rsidRPr="00245298" w:rsidRDefault="0028021D" w:rsidP="00B2232C">
            <w:pPr>
              <w:rPr>
                <w:lang w:bidi="cs-CZ"/>
              </w:rPr>
            </w:pPr>
            <w:r w:rsidRPr="00245298">
              <w:rPr>
                <w:lang w:bidi="cs-CZ"/>
              </w:rPr>
              <w:t>Odolnost proti žmolkování</w:t>
            </w:r>
            <w:r>
              <w:rPr>
                <w:lang w:bidi="cs-CZ"/>
              </w:rPr>
              <w:t xml:space="preserve"> min.</w:t>
            </w:r>
          </w:p>
        </w:tc>
        <w:tc>
          <w:tcPr>
            <w:tcW w:w="2922" w:type="dxa"/>
            <w:vAlign w:val="center"/>
          </w:tcPr>
          <w:p w:rsidR="0028021D" w:rsidRPr="00245298" w:rsidRDefault="0028021D" w:rsidP="00B2232C">
            <w:pPr>
              <w:rPr>
                <w:lang w:bidi="cs-CZ"/>
              </w:rPr>
            </w:pPr>
            <w:r w:rsidRPr="00245298">
              <w:rPr>
                <w:lang w:bidi="cs-CZ"/>
              </w:rPr>
              <w:t>ČSN EN ISO 12945-2</w:t>
            </w:r>
          </w:p>
        </w:tc>
        <w:tc>
          <w:tcPr>
            <w:tcW w:w="3018" w:type="dxa"/>
            <w:vAlign w:val="center"/>
          </w:tcPr>
          <w:p w:rsidR="0028021D" w:rsidRPr="00245298" w:rsidRDefault="0028021D" w:rsidP="00B2232C">
            <w:pPr>
              <w:jc w:val="center"/>
              <w:rPr>
                <w:lang w:bidi="cs-CZ"/>
              </w:rPr>
            </w:pPr>
            <w:r w:rsidRPr="00245298">
              <w:rPr>
                <w:lang w:bidi="cs-CZ"/>
              </w:rPr>
              <w:t>7000 otáček</w:t>
            </w:r>
          </w:p>
          <w:p w:rsidR="0028021D" w:rsidRPr="00245298" w:rsidRDefault="0028021D" w:rsidP="00B2232C">
            <w:pPr>
              <w:jc w:val="center"/>
              <w:rPr>
                <w:lang w:bidi="cs-CZ"/>
              </w:rPr>
            </w:pPr>
            <w:r w:rsidRPr="00245298">
              <w:rPr>
                <w:lang w:bidi="cs-CZ"/>
              </w:rPr>
              <w:t>Stupeň 5</w:t>
            </w:r>
          </w:p>
        </w:tc>
      </w:tr>
      <w:tr w:rsidR="0028021D" w:rsidTr="00B2232C">
        <w:trPr>
          <w:trHeight w:val="397"/>
        </w:trPr>
        <w:tc>
          <w:tcPr>
            <w:tcW w:w="3114" w:type="dxa"/>
            <w:vAlign w:val="center"/>
          </w:tcPr>
          <w:p w:rsidR="0028021D" w:rsidRPr="00245298" w:rsidRDefault="0028021D" w:rsidP="00B2232C">
            <w:pPr>
              <w:rPr>
                <w:lang w:bidi="cs-CZ"/>
              </w:rPr>
            </w:pPr>
            <w:r w:rsidRPr="00245298">
              <w:rPr>
                <w:lang w:bidi="cs-CZ"/>
              </w:rPr>
              <w:t>Změna rozměrů smáčením</w:t>
            </w:r>
            <w:r>
              <w:rPr>
                <w:lang w:bidi="cs-CZ"/>
              </w:rPr>
              <w:t xml:space="preserve"> max.</w:t>
            </w:r>
          </w:p>
        </w:tc>
        <w:tc>
          <w:tcPr>
            <w:tcW w:w="2922" w:type="dxa"/>
            <w:vAlign w:val="center"/>
          </w:tcPr>
          <w:p w:rsidR="0028021D" w:rsidRPr="00245298" w:rsidRDefault="0028021D" w:rsidP="00B2232C">
            <w:pPr>
              <w:rPr>
                <w:lang w:bidi="cs-CZ"/>
              </w:rPr>
            </w:pPr>
            <w:r w:rsidRPr="00245298">
              <w:rPr>
                <w:lang w:bidi="cs-CZ"/>
              </w:rPr>
              <w:t>PNs 47451963/025/80/98</w:t>
            </w:r>
          </w:p>
        </w:tc>
        <w:tc>
          <w:tcPr>
            <w:tcW w:w="3018" w:type="dxa"/>
            <w:vAlign w:val="center"/>
          </w:tcPr>
          <w:p w:rsidR="0028021D" w:rsidRPr="00245298" w:rsidRDefault="0028021D" w:rsidP="00B2232C">
            <w:pPr>
              <w:jc w:val="center"/>
              <w:rPr>
                <w:lang w:bidi="cs-CZ"/>
              </w:rPr>
            </w:pPr>
            <w:r w:rsidRPr="00245298">
              <w:rPr>
                <w:lang w:bidi="cs-CZ"/>
              </w:rPr>
              <w:t>-0,5/-0,5 %</w:t>
            </w:r>
          </w:p>
        </w:tc>
      </w:tr>
      <w:tr w:rsidR="0028021D" w:rsidTr="00B2232C">
        <w:trPr>
          <w:trHeight w:val="397"/>
        </w:trPr>
        <w:tc>
          <w:tcPr>
            <w:tcW w:w="3114" w:type="dxa"/>
            <w:vAlign w:val="center"/>
          </w:tcPr>
          <w:p w:rsidR="0028021D" w:rsidRPr="00245298" w:rsidRDefault="0028021D" w:rsidP="00B2232C">
            <w:pPr>
              <w:rPr>
                <w:lang w:bidi="cs-CZ"/>
              </w:rPr>
            </w:pPr>
            <w:r w:rsidRPr="00245298">
              <w:rPr>
                <w:lang w:bidi="cs-CZ"/>
              </w:rPr>
              <w:t>Stálobarevnost na světle</w:t>
            </w:r>
          </w:p>
        </w:tc>
        <w:tc>
          <w:tcPr>
            <w:tcW w:w="2922" w:type="dxa"/>
            <w:vAlign w:val="center"/>
          </w:tcPr>
          <w:p w:rsidR="0028021D" w:rsidRPr="00245298" w:rsidRDefault="0028021D" w:rsidP="00B2232C">
            <w:pPr>
              <w:rPr>
                <w:lang w:bidi="cs-CZ"/>
              </w:rPr>
            </w:pPr>
            <w:r w:rsidRPr="00245298">
              <w:rPr>
                <w:lang w:bidi="cs-CZ"/>
              </w:rPr>
              <w:t>ČSN EN 105 B02</w:t>
            </w:r>
          </w:p>
        </w:tc>
        <w:tc>
          <w:tcPr>
            <w:tcW w:w="3018" w:type="dxa"/>
            <w:vAlign w:val="center"/>
          </w:tcPr>
          <w:p w:rsidR="0028021D" w:rsidRPr="00245298" w:rsidRDefault="0028021D" w:rsidP="00B2232C">
            <w:pPr>
              <w:jc w:val="center"/>
              <w:rPr>
                <w:lang w:bidi="cs-CZ"/>
              </w:rPr>
            </w:pPr>
            <w:r>
              <w:rPr>
                <w:lang w:bidi="cs-CZ"/>
              </w:rPr>
              <w:t xml:space="preserve">min. </w:t>
            </w:r>
            <w:r w:rsidR="00CB6A19">
              <w:rPr>
                <w:lang w:bidi="cs-CZ"/>
              </w:rPr>
              <w:t>5</w:t>
            </w:r>
            <w:bookmarkStart w:id="4" w:name="_GoBack"/>
            <w:bookmarkEnd w:id="4"/>
          </w:p>
          <w:p w:rsidR="0028021D" w:rsidRPr="00245298" w:rsidRDefault="0028021D" w:rsidP="00B2232C">
            <w:pPr>
              <w:jc w:val="center"/>
              <w:rPr>
                <w:lang w:bidi="cs-CZ"/>
              </w:rPr>
            </w:pPr>
            <w:r w:rsidRPr="00245298">
              <w:rPr>
                <w:lang w:bidi="cs-CZ"/>
              </w:rPr>
              <w:t>Stupeň modré stupnice</w:t>
            </w:r>
          </w:p>
        </w:tc>
      </w:tr>
      <w:tr w:rsidR="0028021D" w:rsidTr="00B2232C">
        <w:trPr>
          <w:trHeight w:val="397"/>
        </w:trPr>
        <w:tc>
          <w:tcPr>
            <w:tcW w:w="3114" w:type="dxa"/>
            <w:vAlign w:val="center"/>
          </w:tcPr>
          <w:p w:rsidR="0028021D" w:rsidRPr="00245298" w:rsidRDefault="0028021D" w:rsidP="00B2232C">
            <w:pPr>
              <w:rPr>
                <w:lang w:bidi="cs-CZ"/>
              </w:rPr>
            </w:pPr>
            <w:r w:rsidRPr="00245298">
              <w:rPr>
                <w:lang w:bidi="cs-CZ"/>
              </w:rPr>
              <w:t>Stálobarevnost v otěru</w:t>
            </w:r>
          </w:p>
          <w:p w:rsidR="0028021D" w:rsidRPr="00245298" w:rsidRDefault="0028021D" w:rsidP="00B2232C">
            <w:pPr>
              <w:numPr>
                <w:ilvl w:val="0"/>
                <w:numId w:val="11"/>
              </w:numPr>
              <w:rPr>
                <w:lang w:bidi="cs-CZ"/>
              </w:rPr>
            </w:pPr>
            <w:r w:rsidRPr="00245298">
              <w:rPr>
                <w:lang w:bidi="cs-CZ"/>
              </w:rPr>
              <w:t>za sucha</w:t>
            </w:r>
          </w:p>
        </w:tc>
        <w:tc>
          <w:tcPr>
            <w:tcW w:w="2922" w:type="dxa"/>
            <w:vAlign w:val="center"/>
          </w:tcPr>
          <w:p w:rsidR="0028021D" w:rsidRPr="00245298" w:rsidRDefault="0028021D" w:rsidP="00B2232C">
            <w:pPr>
              <w:rPr>
                <w:lang w:bidi="cs-CZ"/>
              </w:rPr>
            </w:pPr>
            <w:r w:rsidRPr="00245298">
              <w:rPr>
                <w:lang w:bidi="cs-CZ"/>
              </w:rPr>
              <w:t xml:space="preserve">ČSN EN ISO </w:t>
            </w:r>
            <w:proofErr w:type="gramStart"/>
            <w:r w:rsidRPr="00245298">
              <w:rPr>
                <w:lang w:bidi="cs-CZ"/>
              </w:rPr>
              <w:t>105-X12</w:t>
            </w:r>
            <w:proofErr w:type="gramEnd"/>
          </w:p>
        </w:tc>
        <w:tc>
          <w:tcPr>
            <w:tcW w:w="3018" w:type="dxa"/>
            <w:vAlign w:val="center"/>
          </w:tcPr>
          <w:p w:rsidR="0028021D" w:rsidRPr="00245298" w:rsidRDefault="0028021D" w:rsidP="00B2232C">
            <w:pPr>
              <w:jc w:val="center"/>
              <w:rPr>
                <w:lang w:bidi="cs-CZ"/>
              </w:rPr>
            </w:pPr>
            <w:r>
              <w:rPr>
                <w:lang w:bidi="cs-CZ"/>
              </w:rPr>
              <w:t xml:space="preserve">min. </w:t>
            </w:r>
            <w:r w:rsidRPr="00245298">
              <w:rPr>
                <w:lang w:bidi="cs-CZ"/>
              </w:rPr>
              <w:t>4-5/4-5</w:t>
            </w:r>
          </w:p>
          <w:p w:rsidR="0028021D" w:rsidRPr="00245298" w:rsidRDefault="0028021D" w:rsidP="00B2232C">
            <w:pPr>
              <w:jc w:val="center"/>
              <w:rPr>
                <w:lang w:bidi="cs-CZ"/>
              </w:rPr>
            </w:pPr>
            <w:r w:rsidRPr="00245298">
              <w:rPr>
                <w:lang w:bidi="cs-CZ"/>
              </w:rPr>
              <w:t>Stupeň šedé stupnice</w:t>
            </w:r>
          </w:p>
        </w:tc>
      </w:tr>
      <w:tr w:rsidR="0028021D" w:rsidTr="00B2232C">
        <w:trPr>
          <w:trHeight w:val="397"/>
        </w:trPr>
        <w:tc>
          <w:tcPr>
            <w:tcW w:w="3114" w:type="dxa"/>
            <w:vAlign w:val="center"/>
          </w:tcPr>
          <w:p w:rsidR="0028021D" w:rsidRPr="00245298" w:rsidRDefault="0028021D" w:rsidP="00B2232C">
            <w:pPr>
              <w:rPr>
                <w:lang w:bidi="cs-CZ"/>
              </w:rPr>
            </w:pPr>
            <w:r w:rsidRPr="00245298">
              <w:rPr>
                <w:lang w:bidi="cs-CZ"/>
              </w:rPr>
              <w:t>Stálobarevnost v potu</w:t>
            </w:r>
          </w:p>
          <w:p w:rsidR="0028021D" w:rsidRPr="00245298" w:rsidRDefault="0028021D" w:rsidP="00B2232C">
            <w:pPr>
              <w:numPr>
                <w:ilvl w:val="0"/>
                <w:numId w:val="10"/>
              </w:numPr>
              <w:rPr>
                <w:lang w:bidi="cs-CZ"/>
              </w:rPr>
            </w:pPr>
            <w:r w:rsidRPr="00245298">
              <w:rPr>
                <w:lang w:bidi="cs-CZ"/>
              </w:rPr>
              <w:t>kyselém</w:t>
            </w:r>
          </w:p>
          <w:p w:rsidR="0028021D" w:rsidRPr="00245298" w:rsidRDefault="0028021D" w:rsidP="00B2232C">
            <w:pPr>
              <w:numPr>
                <w:ilvl w:val="0"/>
                <w:numId w:val="10"/>
              </w:numPr>
              <w:rPr>
                <w:lang w:bidi="cs-CZ"/>
              </w:rPr>
            </w:pPr>
            <w:r w:rsidRPr="00245298">
              <w:rPr>
                <w:lang w:bidi="cs-CZ"/>
              </w:rPr>
              <w:t>alkalickém</w:t>
            </w:r>
          </w:p>
        </w:tc>
        <w:tc>
          <w:tcPr>
            <w:tcW w:w="2922" w:type="dxa"/>
            <w:vAlign w:val="center"/>
          </w:tcPr>
          <w:p w:rsidR="0028021D" w:rsidRPr="00245298" w:rsidRDefault="0028021D" w:rsidP="00B2232C">
            <w:pPr>
              <w:rPr>
                <w:lang w:bidi="cs-CZ"/>
              </w:rPr>
            </w:pPr>
            <w:r w:rsidRPr="00245298">
              <w:rPr>
                <w:lang w:bidi="cs-CZ"/>
              </w:rPr>
              <w:t xml:space="preserve">ČSN EN ISO </w:t>
            </w:r>
            <w:proofErr w:type="gramStart"/>
            <w:r w:rsidRPr="00245298">
              <w:rPr>
                <w:lang w:bidi="cs-CZ"/>
              </w:rPr>
              <w:t>105-E04</w:t>
            </w:r>
            <w:proofErr w:type="gramEnd"/>
          </w:p>
        </w:tc>
        <w:tc>
          <w:tcPr>
            <w:tcW w:w="3018" w:type="dxa"/>
            <w:vAlign w:val="center"/>
          </w:tcPr>
          <w:p w:rsidR="0028021D" w:rsidRPr="00245298" w:rsidRDefault="0028021D" w:rsidP="00B2232C">
            <w:pPr>
              <w:jc w:val="center"/>
              <w:rPr>
                <w:lang w:bidi="cs-CZ"/>
              </w:rPr>
            </w:pPr>
            <w:r>
              <w:rPr>
                <w:lang w:bidi="cs-CZ"/>
              </w:rPr>
              <w:t xml:space="preserve">min. </w:t>
            </w:r>
            <w:r w:rsidRPr="00245298">
              <w:rPr>
                <w:lang w:bidi="cs-CZ"/>
              </w:rPr>
              <w:t>5/4-5/</w:t>
            </w:r>
            <w:r w:rsidR="00C84E87">
              <w:rPr>
                <w:lang w:bidi="cs-CZ"/>
              </w:rPr>
              <w:t>4-</w:t>
            </w:r>
            <w:r w:rsidRPr="00245298">
              <w:rPr>
                <w:lang w:bidi="cs-CZ"/>
              </w:rPr>
              <w:t>5</w:t>
            </w:r>
          </w:p>
          <w:p w:rsidR="0028021D" w:rsidRPr="00245298" w:rsidRDefault="0028021D" w:rsidP="00B2232C">
            <w:pPr>
              <w:jc w:val="center"/>
              <w:rPr>
                <w:lang w:bidi="cs-CZ"/>
              </w:rPr>
            </w:pPr>
            <w:r>
              <w:rPr>
                <w:lang w:bidi="cs-CZ"/>
              </w:rPr>
              <w:t xml:space="preserve">min. </w:t>
            </w:r>
            <w:r w:rsidRPr="00245298">
              <w:rPr>
                <w:lang w:bidi="cs-CZ"/>
              </w:rPr>
              <w:t>5/4-5/</w:t>
            </w:r>
            <w:r w:rsidR="00C84E87">
              <w:rPr>
                <w:lang w:bidi="cs-CZ"/>
              </w:rPr>
              <w:t>4-</w:t>
            </w:r>
            <w:r w:rsidRPr="00245298">
              <w:rPr>
                <w:lang w:bidi="cs-CZ"/>
              </w:rPr>
              <w:t>5</w:t>
            </w:r>
          </w:p>
          <w:p w:rsidR="0028021D" w:rsidRPr="00245298" w:rsidRDefault="0028021D" w:rsidP="00B2232C">
            <w:pPr>
              <w:jc w:val="center"/>
              <w:rPr>
                <w:lang w:bidi="cs-CZ"/>
              </w:rPr>
            </w:pPr>
            <w:r w:rsidRPr="00245298">
              <w:rPr>
                <w:lang w:bidi="cs-CZ"/>
              </w:rPr>
              <w:t>Stupeň šedé stupnice</w:t>
            </w:r>
          </w:p>
        </w:tc>
      </w:tr>
      <w:tr w:rsidR="0028021D" w:rsidTr="00B2232C">
        <w:trPr>
          <w:trHeight w:val="397"/>
        </w:trPr>
        <w:tc>
          <w:tcPr>
            <w:tcW w:w="3114" w:type="dxa"/>
            <w:vAlign w:val="center"/>
          </w:tcPr>
          <w:p w:rsidR="0028021D" w:rsidRPr="00245298" w:rsidRDefault="0028021D" w:rsidP="00B2232C">
            <w:pPr>
              <w:rPr>
                <w:lang w:bidi="cs-CZ"/>
              </w:rPr>
            </w:pPr>
            <w:r w:rsidRPr="00245298">
              <w:rPr>
                <w:lang w:bidi="cs-CZ"/>
              </w:rPr>
              <w:t xml:space="preserve">Stálobarevnost ve vodě </w:t>
            </w:r>
          </w:p>
        </w:tc>
        <w:tc>
          <w:tcPr>
            <w:tcW w:w="2922" w:type="dxa"/>
            <w:vAlign w:val="center"/>
          </w:tcPr>
          <w:p w:rsidR="0028021D" w:rsidRPr="00245298" w:rsidRDefault="0028021D" w:rsidP="00B2232C">
            <w:pPr>
              <w:rPr>
                <w:lang w:bidi="cs-CZ"/>
              </w:rPr>
            </w:pPr>
            <w:r w:rsidRPr="00245298">
              <w:rPr>
                <w:lang w:bidi="cs-CZ"/>
              </w:rPr>
              <w:t xml:space="preserve">ČSN EN ISO </w:t>
            </w:r>
            <w:proofErr w:type="gramStart"/>
            <w:r w:rsidRPr="00245298">
              <w:rPr>
                <w:lang w:bidi="cs-CZ"/>
              </w:rPr>
              <w:t>105-E01</w:t>
            </w:r>
            <w:proofErr w:type="gramEnd"/>
          </w:p>
        </w:tc>
        <w:tc>
          <w:tcPr>
            <w:tcW w:w="3018" w:type="dxa"/>
            <w:vAlign w:val="center"/>
          </w:tcPr>
          <w:p w:rsidR="0028021D" w:rsidRPr="00245298" w:rsidRDefault="0028021D" w:rsidP="00B2232C">
            <w:pPr>
              <w:jc w:val="center"/>
              <w:rPr>
                <w:lang w:bidi="cs-CZ"/>
              </w:rPr>
            </w:pPr>
            <w:r>
              <w:rPr>
                <w:lang w:bidi="cs-CZ"/>
              </w:rPr>
              <w:t xml:space="preserve">min. </w:t>
            </w:r>
            <w:r w:rsidRPr="00245298">
              <w:rPr>
                <w:lang w:bidi="cs-CZ"/>
              </w:rPr>
              <w:t>5/4-5/</w:t>
            </w:r>
            <w:r w:rsidR="00C84E87">
              <w:rPr>
                <w:lang w:bidi="cs-CZ"/>
              </w:rPr>
              <w:t>4-</w:t>
            </w:r>
            <w:r w:rsidRPr="00245298">
              <w:rPr>
                <w:lang w:bidi="cs-CZ"/>
              </w:rPr>
              <w:t>5</w:t>
            </w:r>
          </w:p>
          <w:p w:rsidR="0028021D" w:rsidRPr="00245298" w:rsidRDefault="0028021D" w:rsidP="00B2232C">
            <w:pPr>
              <w:jc w:val="center"/>
              <w:rPr>
                <w:lang w:bidi="cs-CZ"/>
              </w:rPr>
            </w:pPr>
            <w:r w:rsidRPr="00245298">
              <w:rPr>
                <w:lang w:bidi="cs-CZ"/>
              </w:rPr>
              <w:t>Stupeň šedé stupnice</w:t>
            </w:r>
          </w:p>
        </w:tc>
      </w:tr>
      <w:tr w:rsidR="0028021D" w:rsidTr="00B2232C">
        <w:trPr>
          <w:trHeight w:val="397"/>
        </w:trPr>
        <w:tc>
          <w:tcPr>
            <w:tcW w:w="3114" w:type="dxa"/>
            <w:vAlign w:val="center"/>
          </w:tcPr>
          <w:p w:rsidR="0028021D" w:rsidRPr="00245298" w:rsidRDefault="0028021D" w:rsidP="00B2232C">
            <w:pPr>
              <w:rPr>
                <w:lang w:bidi="cs-CZ"/>
              </w:rPr>
            </w:pPr>
            <w:r w:rsidRPr="00245298">
              <w:rPr>
                <w:lang w:bidi="cs-CZ"/>
              </w:rPr>
              <w:t>Stálobarevnost v chem. čištění</w:t>
            </w:r>
          </w:p>
        </w:tc>
        <w:tc>
          <w:tcPr>
            <w:tcW w:w="2922" w:type="dxa"/>
            <w:vAlign w:val="center"/>
          </w:tcPr>
          <w:p w:rsidR="0028021D" w:rsidRPr="00245298" w:rsidRDefault="0028021D" w:rsidP="00B2232C">
            <w:pPr>
              <w:rPr>
                <w:lang w:bidi="cs-CZ"/>
              </w:rPr>
            </w:pPr>
            <w:r w:rsidRPr="00245298">
              <w:rPr>
                <w:lang w:bidi="cs-CZ"/>
              </w:rPr>
              <w:t xml:space="preserve">ČSN EN ISO </w:t>
            </w:r>
            <w:proofErr w:type="gramStart"/>
            <w:r w:rsidRPr="00245298">
              <w:rPr>
                <w:lang w:bidi="cs-CZ"/>
              </w:rPr>
              <w:t>105-D01</w:t>
            </w:r>
            <w:proofErr w:type="gramEnd"/>
          </w:p>
        </w:tc>
        <w:tc>
          <w:tcPr>
            <w:tcW w:w="3018" w:type="dxa"/>
            <w:vAlign w:val="center"/>
          </w:tcPr>
          <w:p w:rsidR="0028021D" w:rsidRPr="00245298" w:rsidRDefault="0028021D" w:rsidP="00B2232C">
            <w:pPr>
              <w:jc w:val="center"/>
              <w:rPr>
                <w:lang w:bidi="cs-CZ"/>
              </w:rPr>
            </w:pPr>
            <w:r>
              <w:rPr>
                <w:lang w:bidi="cs-CZ"/>
              </w:rPr>
              <w:t xml:space="preserve">min. </w:t>
            </w:r>
            <w:r w:rsidR="00C84E87" w:rsidRPr="00245298">
              <w:rPr>
                <w:lang w:bidi="cs-CZ"/>
              </w:rPr>
              <w:t>5/4-5/</w:t>
            </w:r>
            <w:r w:rsidR="00C84E87">
              <w:rPr>
                <w:lang w:bidi="cs-CZ"/>
              </w:rPr>
              <w:t>4-</w:t>
            </w:r>
            <w:r w:rsidR="00C84E87" w:rsidRPr="00245298">
              <w:rPr>
                <w:lang w:bidi="cs-CZ"/>
              </w:rPr>
              <w:t>5</w:t>
            </w:r>
          </w:p>
          <w:p w:rsidR="0028021D" w:rsidRPr="00245298" w:rsidRDefault="0028021D" w:rsidP="00B2232C">
            <w:pPr>
              <w:jc w:val="center"/>
              <w:rPr>
                <w:lang w:bidi="cs-CZ"/>
              </w:rPr>
            </w:pPr>
            <w:r w:rsidRPr="00245298">
              <w:rPr>
                <w:lang w:bidi="cs-CZ"/>
              </w:rPr>
              <w:t>Stupeň šedé stupnice</w:t>
            </w:r>
          </w:p>
        </w:tc>
      </w:tr>
      <w:tr w:rsidR="0028021D" w:rsidTr="00B2232C">
        <w:trPr>
          <w:trHeight w:val="397"/>
        </w:trPr>
        <w:tc>
          <w:tcPr>
            <w:tcW w:w="3114" w:type="dxa"/>
            <w:shd w:val="clear" w:color="auto" w:fill="auto"/>
            <w:vAlign w:val="center"/>
          </w:tcPr>
          <w:p w:rsidR="0028021D" w:rsidRPr="00245298" w:rsidRDefault="0028021D" w:rsidP="00B2232C">
            <w:pPr>
              <w:rPr>
                <w:lang w:val="en-US"/>
              </w:rPr>
            </w:pPr>
            <w:r w:rsidRPr="00245298">
              <w:rPr>
                <w:lang w:val="en-US"/>
              </w:rPr>
              <w:t xml:space="preserve">Obsah volného formaldehydu </w:t>
            </w:r>
          </w:p>
        </w:tc>
        <w:tc>
          <w:tcPr>
            <w:tcW w:w="2922" w:type="dxa"/>
            <w:shd w:val="clear" w:color="auto" w:fill="auto"/>
            <w:vAlign w:val="center"/>
          </w:tcPr>
          <w:p w:rsidR="0028021D" w:rsidRPr="00245298" w:rsidRDefault="0028021D" w:rsidP="00B2232C">
            <w:pPr>
              <w:rPr>
                <w:lang w:val="en-US"/>
              </w:rPr>
            </w:pPr>
            <w:r w:rsidRPr="00245298">
              <w:rPr>
                <w:lang w:val="en-US"/>
              </w:rPr>
              <w:t>ČSN EN ISO 14184-1</w:t>
            </w:r>
          </w:p>
        </w:tc>
        <w:tc>
          <w:tcPr>
            <w:tcW w:w="3018" w:type="dxa"/>
            <w:shd w:val="clear" w:color="auto" w:fill="auto"/>
            <w:vAlign w:val="center"/>
          </w:tcPr>
          <w:p w:rsidR="0028021D" w:rsidRPr="00245298" w:rsidRDefault="0028021D" w:rsidP="00B2232C">
            <w:pPr>
              <w:jc w:val="center"/>
              <w:rPr>
                <w:lang w:val="en-US"/>
              </w:rPr>
            </w:pPr>
            <w:r w:rsidRPr="00245298">
              <w:rPr>
                <w:lang w:val="en-US"/>
              </w:rPr>
              <w:t>max. 75 mg/kg</w:t>
            </w:r>
          </w:p>
        </w:tc>
      </w:tr>
      <w:tr w:rsidR="0028021D" w:rsidTr="00B2232C">
        <w:trPr>
          <w:trHeight w:val="397"/>
        </w:trPr>
        <w:tc>
          <w:tcPr>
            <w:tcW w:w="3114" w:type="dxa"/>
            <w:shd w:val="clear" w:color="auto" w:fill="auto"/>
            <w:vAlign w:val="center"/>
          </w:tcPr>
          <w:p w:rsidR="0028021D" w:rsidRPr="00245298" w:rsidRDefault="0028021D" w:rsidP="00B2232C">
            <w:pPr>
              <w:rPr>
                <w:lang w:val="en-US"/>
              </w:rPr>
            </w:pPr>
            <w:r w:rsidRPr="00245298">
              <w:rPr>
                <w:lang w:val="en-US"/>
              </w:rPr>
              <w:t>Hodnota pH volného výluhu</w:t>
            </w:r>
          </w:p>
        </w:tc>
        <w:tc>
          <w:tcPr>
            <w:tcW w:w="2922" w:type="dxa"/>
            <w:shd w:val="clear" w:color="auto" w:fill="auto"/>
            <w:vAlign w:val="center"/>
          </w:tcPr>
          <w:p w:rsidR="0028021D" w:rsidRPr="00245298" w:rsidRDefault="0028021D" w:rsidP="00B2232C">
            <w:pPr>
              <w:rPr>
                <w:lang w:val="en-US"/>
              </w:rPr>
            </w:pPr>
            <w:r w:rsidRPr="00245298">
              <w:rPr>
                <w:lang w:val="en-US"/>
              </w:rPr>
              <w:t>ČSN EN ISO 3071</w:t>
            </w:r>
          </w:p>
        </w:tc>
        <w:tc>
          <w:tcPr>
            <w:tcW w:w="3018" w:type="dxa"/>
            <w:shd w:val="clear" w:color="auto" w:fill="auto"/>
            <w:vAlign w:val="center"/>
          </w:tcPr>
          <w:p w:rsidR="0028021D" w:rsidRPr="00245298" w:rsidRDefault="0028021D" w:rsidP="00B2232C">
            <w:pPr>
              <w:jc w:val="center"/>
              <w:rPr>
                <w:lang w:val="en-US"/>
              </w:rPr>
            </w:pPr>
            <w:r w:rsidRPr="00245298">
              <w:rPr>
                <w:lang w:val="en-US"/>
              </w:rPr>
              <w:t>4,5 - 7,5</w:t>
            </w:r>
          </w:p>
        </w:tc>
      </w:tr>
      <w:tr w:rsidR="0028021D" w:rsidTr="00B2232C">
        <w:trPr>
          <w:trHeight w:val="397"/>
        </w:trPr>
        <w:tc>
          <w:tcPr>
            <w:tcW w:w="3114" w:type="dxa"/>
            <w:shd w:val="clear" w:color="auto" w:fill="auto"/>
            <w:vAlign w:val="center"/>
          </w:tcPr>
          <w:p w:rsidR="0028021D" w:rsidRPr="00245298" w:rsidRDefault="0028021D" w:rsidP="00B2232C">
            <w:pPr>
              <w:rPr>
                <w:bCs/>
                <w:lang w:val="cs"/>
              </w:rPr>
            </w:pPr>
            <w:r w:rsidRPr="00245298">
              <w:rPr>
                <w:bCs/>
                <w:lang w:val="cs"/>
              </w:rPr>
              <w:t>Symboly údržby</w:t>
            </w:r>
          </w:p>
        </w:tc>
        <w:tc>
          <w:tcPr>
            <w:tcW w:w="2922" w:type="dxa"/>
            <w:shd w:val="clear" w:color="auto" w:fill="auto"/>
            <w:vAlign w:val="center"/>
          </w:tcPr>
          <w:p w:rsidR="0028021D" w:rsidRPr="00245298" w:rsidRDefault="0028021D" w:rsidP="00B2232C">
            <w:pPr>
              <w:rPr>
                <w:lang w:val="cs"/>
              </w:rPr>
            </w:pPr>
            <w:r w:rsidRPr="00245298">
              <w:rPr>
                <w:lang w:val="cs"/>
              </w:rPr>
              <w:t>ČSN EN ISO 3758</w:t>
            </w:r>
          </w:p>
        </w:tc>
        <w:tc>
          <w:tcPr>
            <w:tcW w:w="3018" w:type="dxa"/>
            <w:vAlign w:val="center"/>
          </w:tcPr>
          <w:p w:rsidR="0028021D" w:rsidRPr="00245298" w:rsidRDefault="0028021D" w:rsidP="00B2232C">
            <w:pPr>
              <w:jc w:val="center"/>
              <w:rPr>
                <w:lang w:bidi="cs-CZ"/>
              </w:rPr>
            </w:pPr>
            <w:r>
              <w:object w:dxaOrig="2505" w:dyaOrig="5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5.25pt;height:26.25pt" o:ole="">
                  <v:imagedata r:id="rId8" o:title=""/>
                </v:shape>
                <o:OLEObject Type="Embed" ProgID="PBrush" ShapeID="_x0000_i1025" DrawAspect="Content" ObjectID="_1626595443" r:id="rId9"/>
              </w:object>
            </w:r>
          </w:p>
        </w:tc>
      </w:tr>
    </w:tbl>
    <w:p w:rsidR="0028021D" w:rsidRDefault="0028021D" w:rsidP="002125AB">
      <w:pPr>
        <w:spacing w:after="0"/>
        <w:rPr>
          <w:b/>
          <w:lang w:bidi="cs-CZ"/>
        </w:rPr>
      </w:pPr>
    </w:p>
    <w:p w:rsidR="002125AB" w:rsidRPr="00A652E9" w:rsidRDefault="002125AB" w:rsidP="002125AB">
      <w:pPr>
        <w:spacing w:after="0" w:line="276" w:lineRule="auto"/>
        <w:rPr>
          <w:b/>
          <w:lang w:bidi="cs-CZ"/>
        </w:rPr>
      </w:pPr>
      <w:r w:rsidRPr="00A652E9">
        <w:rPr>
          <w:b/>
          <w:lang w:bidi="cs-CZ"/>
        </w:rPr>
        <w:t>Podšívka: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14"/>
        <w:gridCol w:w="2922"/>
        <w:gridCol w:w="3018"/>
      </w:tblGrid>
      <w:tr w:rsidR="002125AB" w:rsidTr="0028021D">
        <w:trPr>
          <w:trHeight w:val="397"/>
        </w:trPr>
        <w:tc>
          <w:tcPr>
            <w:tcW w:w="3114" w:type="dxa"/>
            <w:shd w:val="clear" w:color="auto" w:fill="auto"/>
            <w:vAlign w:val="center"/>
          </w:tcPr>
          <w:p w:rsidR="002125AB" w:rsidRPr="003452FF" w:rsidRDefault="002125AB" w:rsidP="002125AB">
            <w:pPr>
              <w:spacing w:line="276" w:lineRule="auto"/>
              <w:rPr>
                <w:b/>
                <w:lang w:bidi="cs-CZ"/>
              </w:rPr>
            </w:pPr>
            <w:r>
              <w:rPr>
                <w:b/>
                <w:lang w:bidi="cs-CZ"/>
              </w:rPr>
              <w:t>Parametr</w:t>
            </w:r>
          </w:p>
        </w:tc>
        <w:tc>
          <w:tcPr>
            <w:tcW w:w="2922" w:type="dxa"/>
            <w:shd w:val="clear" w:color="auto" w:fill="auto"/>
            <w:vAlign w:val="center"/>
          </w:tcPr>
          <w:p w:rsidR="002125AB" w:rsidRPr="003452FF" w:rsidRDefault="002125AB" w:rsidP="002125AB">
            <w:pPr>
              <w:spacing w:line="276" w:lineRule="auto"/>
              <w:rPr>
                <w:b/>
                <w:lang w:bidi="cs-CZ"/>
              </w:rPr>
            </w:pPr>
            <w:r>
              <w:rPr>
                <w:b/>
                <w:lang w:bidi="cs-CZ"/>
              </w:rPr>
              <w:t>Z</w:t>
            </w:r>
            <w:r w:rsidRPr="003452FF">
              <w:rPr>
                <w:b/>
                <w:lang w:bidi="cs-CZ"/>
              </w:rPr>
              <w:t>kušební metoda</w:t>
            </w:r>
          </w:p>
        </w:tc>
        <w:tc>
          <w:tcPr>
            <w:tcW w:w="3018" w:type="dxa"/>
            <w:shd w:val="clear" w:color="auto" w:fill="auto"/>
            <w:vAlign w:val="center"/>
          </w:tcPr>
          <w:p w:rsidR="002125AB" w:rsidRPr="003452FF" w:rsidRDefault="002125AB" w:rsidP="002125AB">
            <w:pPr>
              <w:spacing w:line="276" w:lineRule="auto"/>
              <w:rPr>
                <w:b/>
                <w:lang w:bidi="cs-CZ"/>
              </w:rPr>
            </w:pPr>
            <w:r>
              <w:rPr>
                <w:b/>
                <w:lang w:bidi="cs-CZ"/>
              </w:rPr>
              <w:t>H</w:t>
            </w:r>
            <w:r w:rsidRPr="003452FF">
              <w:rPr>
                <w:b/>
                <w:lang w:bidi="cs-CZ"/>
              </w:rPr>
              <w:t>odnota</w:t>
            </w:r>
          </w:p>
        </w:tc>
      </w:tr>
      <w:tr w:rsidR="002125AB" w:rsidTr="0028021D">
        <w:trPr>
          <w:trHeight w:val="397"/>
        </w:trPr>
        <w:tc>
          <w:tcPr>
            <w:tcW w:w="3114" w:type="dxa"/>
            <w:shd w:val="clear" w:color="auto" w:fill="auto"/>
            <w:vAlign w:val="center"/>
          </w:tcPr>
          <w:p w:rsidR="002125AB" w:rsidRPr="003452FF" w:rsidRDefault="002125AB" w:rsidP="002125AB">
            <w:pPr>
              <w:spacing w:line="276" w:lineRule="auto"/>
              <w:rPr>
                <w:lang w:val="cs" w:bidi="cs-CZ"/>
              </w:rPr>
            </w:pPr>
            <w:r w:rsidRPr="003452FF">
              <w:rPr>
                <w:lang w:val="cs" w:bidi="cs-CZ"/>
              </w:rPr>
              <w:t>Materiálové složení</w:t>
            </w:r>
          </w:p>
        </w:tc>
        <w:tc>
          <w:tcPr>
            <w:tcW w:w="2922" w:type="dxa"/>
            <w:shd w:val="clear" w:color="auto" w:fill="auto"/>
            <w:vAlign w:val="center"/>
          </w:tcPr>
          <w:p w:rsidR="002125AB" w:rsidRPr="003452FF" w:rsidRDefault="002125AB" w:rsidP="002125AB">
            <w:pPr>
              <w:spacing w:line="276" w:lineRule="auto"/>
              <w:rPr>
                <w:lang w:bidi="cs-CZ"/>
              </w:rPr>
            </w:pPr>
          </w:p>
        </w:tc>
        <w:tc>
          <w:tcPr>
            <w:tcW w:w="3018" w:type="dxa"/>
            <w:shd w:val="clear" w:color="auto" w:fill="auto"/>
            <w:vAlign w:val="center"/>
          </w:tcPr>
          <w:p w:rsidR="002125AB" w:rsidRPr="003452FF" w:rsidRDefault="002125AB" w:rsidP="002125AB">
            <w:pPr>
              <w:spacing w:line="276" w:lineRule="auto"/>
              <w:jc w:val="center"/>
              <w:rPr>
                <w:lang w:val="cs" w:bidi="cs-CZ"/>
              </w:rPr>
            </w:pPr>
            <w:r w:rsidRPr="003452FF">
              <w:rPr>
                <w:lang w:val="cs" w:bidi="cs-CZ"/>
              </w:rPr>
              <w:t>100% polyester</w:t>
            </w:r>
          </w:p>
        </w:tc>
      </w:tr>
      <w:tr w:rsidR="002125AB" w:rsidTr="0028021D">
        <w:trPr>
          <w:trHeight w:val="397"/>
        </w:trPr>
        <w:tc>
          <w:tcPr>
            <w:tcW w:w="3114" w:type="dxa"/>
            <w:shd w:val="clear" w:color="auto" w:fill="auto"/>
            <w:vAlign w:val="center"/>
          </w:tcPr>
          <w:p w:rsidR="002125AB" w:rsidRPr="003452FF" w:rsidRDefault="002125AB" w:rsidP="002125AB">
            <w:pPr>
              <w:spacing w:line="276" w:lineRule="auto"/>
              <w:rPr>
                <w:lang w:val="cs" w:bidi="cs-CZ"/>
              </w:rPr>
            </w:pPr>
            <w:r w:rsidRPr="003452FF">
              <w:rPr>
                <w:lang w:val="cs" w:bidi="cs-CZ"/>
              </w:rPr>
              <w:t>Barva</w:t>
            </w:r>
          </w:p>
        </w:tc>
        <w:tc>
          <w:tcPr>
            <w:tcW w:w="2922" w:type="dxa"/>
            <w:shd w:val="clear" w:color="auto" w:fill="auto"/>
            <w:vAlign w:val="center"/>
          </w:tcPr>
          <w:p w:rsidR="002125AB" w:rsidRPr="003452FF" w:rsidRDefault="002125AB" w:rsidP="002125AB">
            <w:pPr>
              <w:spacing w:line="276" w:lineRule="auto"/>
              <w:rPr>
                <w:lang w:bidi="cs-CZ"/>
              </w:rPr>
            </w:pPr>
          </w:p>
        </w:tc>
        <w:tc>
          <w:tcPr>
            <w:tcW w:w="3018" w:type="dxa"/>
            <w:shd w:val="clear" w:color="auto" w:fill="auto"/>
            <w:vAlign w:val="center"/>
          </w:tcPr>
          <w:p w:rsidR="002125AB" w:rsidRPr="003452FF" w:rsidRDefault="002125AB" w:rsidP="002125AB">
            <w:pPr>
              <w:spacing w:line="276" w:lineRule="auto"/>
              <w:jc w:val="center"/>
              <w:rPr>
                <w:lang w:val="cs" w:bidi="cs-CZ"/>
              </w:rPr>
            </w:pPr>
            <w:r w:rsidRPr="003452FF">
              <w:rPr>
                <w:lang w:val="cs" w:bidi="cs-CZ"/>
              </w:rPr>
              <w:t>černá</w:t>
            </w:r>
          </w:p>
        </w:tc>
      </w:tr>
      <w:tr w:rsidR="002125AB" w:rsidTr="0028021D">
        <w:trPr>
          <w:trHeight w:val="397"/>
        </w:trPr>
        <w:tc>
          <w:tcPr>
            <w:tcW w:w="3114" w:type="dxa"/>
            <w:shd w:val="clear" w:color="auto" w:fill="auto"/>
            <w:vAlign w:val="center"/>
          </w:tcPr>
          <w:p w:rsidR="002125AB" w:rsidRPr="003452FF" w:rsidRDefault="002125AB" w:rsidP="002125AB">
            <w:pPr>
              <w:spacing w:line="276" w:lineRule="auto"/>
              <w:rPr>
                <w:bCs/>
                <w:lang w:val="cs" w:bidi="cs-CZ"/>
              </w:rPr>
            </w:pPr>
            <w:r w:rsidRPr="003452FF">
              <w:rPr>
                <w:bCs/>
                <w:lang w:val="cs" w:bidi="cs-CZ"/>
              </w:rPr>
              <w:t>Plošná hmotnost</w:t>
            </w:r>
          </w:p>
        </w:tc>
        <w:tc>
          <w:tcPr>
            <w:tcW w:w="2922" w:type="dxa"/>
            <w:shd w:val="clear" w:color="auto" w:fill="auto"/>
            <w:vAlign w:val="center"/>
          </w:tcPr>
          <w:p w:rsidR="002125AB" w:rsidRPr="003452FF" w:rsidRDefault="002125AB" w:rsidP="002125AB">
            <w:pPr>
              <w:spacing w:line="276" w:lineRule="auto"/>
              <w:rPr>
                <w:lang w:val="cs" w:bidi="cs-CZ"/>
              </w:rPr>
            </w:pPr>
            <w:r w:rsidRPr="003452FF">
              <w:rPr>
                <w:lang w:val="cs" w:bidi="cs-CZ"/>
              </w:rPr>
              <w:t>ČSN EN 12127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25AB" w:rsidRPr="00FC1055" w:rsidRDefault="00C12C41" w:rsidP="002125AB">
            <w:pPr>
              <w:spacing w:line="276" w:lineRule="auto"/>
              <w:jc w:val="center"/>
              <w:rPr>
                <w:lang w:bidi="cs-CZ"/>
              </w:rPr>
            </w:pPr>
            <w:r>
              <w:rPr>
                <w:lang w:bidi="cs-CZ"/>
              </w:rPr>
              <w:t>65</w:t>
            </w:r>
            <w:r w:rsidR="002125AB">
              <w:rPr>
                <w:lang w:bidi="cs-CZ"/>
              </w:rPr>
              <w:t xml:space="preserve"> ± 5 </w:t>
            </w:r>
            <w:r w:rsidR="002125AB" w:rsidRPr="003452FF">
              <w:rPr>
                <w:lang w:val="cs" w:bidi="cs-CZ"/>
              </w:rPr>
              <w:t>g.m</w:t>
            </w:r>
            <w:r w:rsidR="002125AB" w:rsidRPr="003452FF">
              <w:rPr>
                <w:vertAlign w:val="superscript"/>
                <w:lang w:val="cs" w:bidi="cs-CZ"/>
              </w:rPr>
              <w:t>-2</w:t>
            </w:r>
          </w:p>
        </w:tc>
      </w:tr>
      <w:tr w:rsidR="002125AB" w:rsidTr="0028021D">
        <w:trPr>
          <w:trHeight w:val="397"/>
        </w:trPr>
        <w:tc>
          <w:tcPr>
            <w:tcW w:w="3114" w:type="dxa"/>
            <w:shd w:val="clear" w:color="auto" w:fill="auto"/>
            <w:vAlign w:val="center"/>
          </w:tcPr>
          <w:p w:rsidR="002125AB" w:rsidRPr="003452FF" w:rsidRDefault="002125AB" w:rsidP="002125AB">
            <w:pPr>
              <w:spacing w:line="276" w:lineRule="auto"/>
              <w:rPr>
                <w:lang w:val="cs" w:bidi="cs-CZ"/>
              </w:rPr>
            </w:pPr>
            <w:r w:rsidRPr="003452FF">
              <w:rPr>
                <w:lang w:val="cs" w:bidi="cs-CZ"/>
              </w:rPr>
              <w:t>Stálobarevnost v potu</w:t>
            </w:r>
          </w:p>
        </w:tc>
        <w:tc>
          <w:tcPr>
            <w:tcW w:w="2922" w:type="dxa"/>
            <w:shd w:val="clear" w:color="auto" w:fill="auto"/>
            <w:vAlign w:val="center"/>
          </w:tcPr>
          <w:p w:rsidR="002125AB" w:rsidRPr="003452FF" w:rsidRDefault="002125AB" w:rsidP="002125AB">
            <w:pPr>
              <w:spacing w:line="276" w:lineRule="auto"/>
              <w:rPr>
                <w:lang w:val="cs" w:bidi="cs-CZ"/>
              </w:rPr>
            </w:pPr>
            <w:r w:rsidRPr="003452FF">
              <w:rPr>
                <w:lang w:val="cs" w:bidi="cs-CZ"/>
              </w:rPr>
              <w:t xml:space="preserve">ČSN EN ISO </w:t>
            </w:r>
            <w:proofErr w:type="gramStart"/>
            <w:r w:rsidRPr="003452FF">
              <w:rPr>
                <w:lang w:val="cs" w:bidi="cs-CZ"/>
              </w:rPr>
              <w:t>105-E04</w:t>
            </w:r>
            <w:proofErr w:type="gramEnd"/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25AB" w:rsidRDefault="002125AB" w:rsidP="002125AB">
            <w:pPr>
              <w:spacing w:line="276" w:lineRule="auto"/>
              <w:jc w:val="center"/>
              <w:rPr>
                <w:lang w:bidi="cs-CZ"/>
              </w:rPr>
            </w:pPr>
            <w:r w:rsidRPr="00FC1055">
              <w:rPr>
                <w:lang w:bidi="cs-CZ"/>
              </w:rPr>
              <w:t>min. 4-5/4-5</w:t>
            </w:r>
          </w:p>
          <w:p w:rsidR="002125AB" w:rsidRPr="00FC1055" w:rsidRDefault="002125AB" w:rsidP="002125AB">
            <w:pPr>
              <w:spacing w:line="276" w:lineRule="auto"/>
              <w:jc w:val="center"/>
              <w:rPr>
                <w:lang w:bidi="cs-CZ"/>
              </w:rPr>
            </w:pPr>
            <w:r w:rsidRPr="00FC1055">
              <w:rPr>
                <w:lang w:bidi="cs-CZ"/>
              </w:rPr>
              <w:t>stupeň šedé stupnice</w:t>
            </w:r>
          </w:p>
        </w:tc>
      </w:tr>
      <w:tr w:rsidR="002125AB" w:rsidTr="0028021D">
        <w:trPr>
          <w:trHeight w:val="397"/>
        </w:trPr>
        <w:tc>
          <w:tcPr>
            <w:tcW w:w="3114" w:type="dxa"/>
            <w:shd w:val="clear" w:color="auto" w:fill="auto"/>
            <w:vAlign w:val="center"/>
          </w:tcPr>
          <w:p w:rsidR="002125AB" w:rsidRPr="003452FF" w:rsidRDefault="002125AB" w:rsidP="002125AB">
            <w:pPr>
              <w:spacing w:line="276" w:lineRule="auto"/>
              <w:rPr>
                <w:lang w:val="cs" w:bidi="cs-CZ"/>
              </w:rPr>
            </w:pPr>
            <w:r w:rsidRPr="003452FF">
              <w:rPr>
                <w:lang w:val="cs" w:bidi="cs-CZ"/>
              </w:rPr>
              <w:t xml:space="preserve">Stálobarevnost v otěru </w:t>
            </w:r>
          </w:p>
          <w:p w:rsidR="002125AB" w:rsidRPr="003452FF" w:rsidRDefault="002125AB" w:rsidP="002125AB">
            <w:pPr>
              <w:spacing w:line="276" w:lineRule="auto"/>
              <w:rPr>
                <w:lang w:val="cs" w:bidi="cs-CZ"/>
              </w:rPr>
            </w:pPr>
            <w:r w:rsidRPr="003452FF">
              <w:rPr>
                <w:lang w:val="cs" w:bidi="cs-CZ"/>
              </w:rPr>
              <w:t>za sucha/za vlhka</w:t>
            </w:r>
          </w:p>
        </w:tc>
        <w:tc>
          <w:tcPr>
            <w:tcW w:w="2922" w:type="dxa"/>
            <w:shd w:val="clear" w:color="auto" w:fill="auto"/>
            <w:vAlign w:val="center"/>
          </w:tcPr>
          <w:p w:rsidR="002125AB" w:rsidRPr="003452FF" w:rsidRDefault="002125AB" w:rsidP="002125AB">
            <w:pPr>
              <w:spacing w:line="276" w:lineRule="auto"/>
              <w:rPr>
                <w:lang w:val="cs" w:bidi="cs-CZ"/>
              </w:rPr>
            </w:pPr>
            <w:r w:rsidRPr="003452FF">
              <w:rPr>
                <w:lang w:val="cs" w:bidi="cs-CZ"/>
              </w:rPr>
              <w:t xml:space="preserve">ČSN EN ISO </w:t>
            </w:r>
            <w:proofErr w:type="gramStart"/>
            <w:r w:rsidRPr="003452FF">
              <w:rPr>
                <w:lang w:val="cs" w:bidi="cs-CZ"/>
              </w:rPr>
              <w:t>105-X12</w:t>
            </w:r>
            <w:proofErr w:type="gramEnd"/>
            <w:r w:rsidRPr="003452FF">
              <w:rPr>
                <w:lang w:val="cs" w:bidi="cs-CZ"/>
              </w:rPr>
              <w:t xml:space="preserve"> </w:t>
            </w:r>
          </w:p>
          <w:p w:rsidR="002125AB" w:rsidRPr="003452FF" w:rsidRDefault="002125AB" w:rsidP="002125AB">
            <w:pPr>
              <w:spacing w:line="276" w:lineRule="auto"/>
              <w:rPr>
                <w:lang w:val="cs" w:bidi="cs-CZ"/>
              </w:rPr>
            </w:pPr>
            <w:r w:rsidRPr="003452FF">
              <w:rPr>
                <w:lang w:val="cs" w:bidi="cs-CZ"/>
              </w:rPr>
              <w:t xml:space="preserve">ČSN EN ISO </w:t>
            </w:r>
            <w:proofErr w:type="gramStart"/>
            <w:r w:rsidRPr="003452FF">
              <w:rPr>
                <w:lang w:val="cs" w:bidi="cs-CZ"/>
              </w:rPr>
              <w:t>105-X12</w:t>
            </w:r>
            <w:proofErr w:type="gramEnd"/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25AB" w:rsidRDefault="002125AB" w:rsidP="002125AB">
            <w:pPr>
              <w:spacing w:line="276" w:lineRule="auto"/>
              <w:jc w:val="center"/>
              <w:rPr>
                <w:lang w:bidi="cs-CZ"/>
              </w:rPr>
            </w:pPr>
            <w:r w:rsidRPr="00FC1055">
              <w:rPr>
                <w:lang w:bidi="cs-CZ"/>
              </w:rPr>
              <w:t>min. 4-5 min. 4-5</w:t>
            </w:r>
          </w:p>
          <w:p w:rsidR="002125AB" w:rsidRPr="00FC1055" w:rsidRDefault="002125AB" w:rsidP="002125AB">
            <w:pPr>
              <w:spacing w:line="276" w:lineRule="auto"/>
              <w:jc w:val="center"/>
              <w:rPr>
                <w:lang w:bidi="cs-CZ"/>
              </w:rPr>
            </w:pPr>
            <w:r w:rsidRPr="00FC1055">
              <w:rPr>
                <w:lang w:bidi="cs-CZ"/>
              </w:rPr>
              <w:t>stupeň šedé stupnice</w:t>
            </w:r>
          </w:p>
        </w:tc>
      </w:tr>
      <w:tr w:rsidR="002125AB" w:rsidTr="0028021D">
        <w:trPr>
          <w:trHeight w:val="397"/>
        </w:trPr>
        <w:tc>
          <w:tcPr>
            <w:tcW w:w="3114" w:type="dxa"/>
            <w:shd w:val="clear" w:color="auto" w:fill="auto"/>
            <w:vAlign w:val="center"/>
          </w:tcPr>
          <w:p w:rsidR="002125AB" w:rsidRPr="003452FF" w:rsidRDefault="002125AB" w:rsidP="002125AB">
            <w:pPr>
              <w:spacing w:line="276" w:lineRule="auto"/>
              <w:rPr>
                <w:lang w:val="cs" w:bidi="cs-CZ"/>
              </w:rPr>
            </w:pPr>
            <w:r w:rsidRPr="003452FF">
              <w:rPr>
                <w:lang w:val="cs" w:bidi="cs-CZ"/>
              </w:rPr>
              <w:t>Posuvnost niti ve švu (mm):</w:t>
            </w:r>
          </w:p>
          <w:p w:rsidR="002125AB" w:rsidRPr="003452FF" w:rsidRDefault="002125AB" w:rsidP="002125AB">
            <w:pPr>
              <w:numPr>
                <w:ilvl w:val="0"/>
                <w:numId w:val="12"/>
              </w:numPr>
              <w:spacing w:line="276" w:lineRule="auto"/>
              <w:rPr>
                <w:lang w:val="cs" w:bidi="cs-CZ"/>
              </w:rPr>
            </w:pPr>
            <w:r w:rsidRPr="003452FF">
              <w:rPr>
                <w:lang w:val="cs" w:bidi="cs-CZ"/>
              </w:rPr>
              <w:t>osnova</w:t>
            </w:r>
          </w:p>
          <w:p w:rsidR="002125AB" w:rsidRPr="003452FF" w:rsidRDefault="002125AB" w:rsidP="002125AB">
            <w:pPr>
              <w:numPr>
                <w:ilvl w:val="0"/>
                <w:numId w:val="12"/>
              </w:numPr>
              <w:spacing w:line="276" w:lineRule="auto"/>
              <w:rPr>
                <w:lang w:val="cs" w:bidi="cs-CZ"/>
              </w:rPr>
            </w:pPr>
            <w:r w:rsidRPr="003452FF">
              <w:rPr>
                <w:lang w:val="cs" w:bidi="cs-CZ"/>
              </w:rPr>
              <w:t>útek</w:t>
            </w:r>
          </w:p>
        </w:tc>
        <w:tc>
          <w:tcPr>
            <w:tcW w:w="2922" w:type="dxa"/>
            <w:shd w:val="clear" w:color="auto" w:fill="auto"/>
            <w:vAlign w:val="center"/>
          </w:tcPr>
          <w:p w:rsidR="002125AB" w:rsidRPr="003452FF" w:rsidRDefault="002125AB" w:rsidP="002125AB">
            <w:pPr>
              <w:spacing w:line="276" w:lineRule="auto"/>
              <w:rPr>
                <w:lang w:val="cs" w:bidi="cs-CZ"/>
              </w:rPr>
            </w:pPr>
            <w:r w:rsidRPr="003452FF">
              <w:rPr>
                <w:lang w:val="cs" w:bidi="cs-CZ"/>
              </w:rPr>
              <w:t>ČSN EN ISO 13936-2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25AB" w:rsidRPr="00FC1055" w:rsidRDefault="002125AB" w:rsidP="002125AB">
            <w:pPr>
              <w:spacing w:line="276" w:lineRule="auto"/>
              <w:jc w:val="center"/>
              <w:rPr>
                <w:lang w:bidi="cs-CZ"/>
              </w:rPr>
            </w:pPr>
            <w:r w:rsidRPr="00FC1055">
              <w:rPr>
                <w:lang w:bidi="en-US"/>
              </w:rPr>
              <w:t xml:space="preserve">max. </w:t>
            </w:r>
            <w:r w:rsidRPr="00FC1055">
              <w:rPr>
                <w:lang w:bidi="cs-CZ"/>
              </w:rPr>
              <w:t>3</w:t>
            </w:r>
            <w:r>
              <w:rPr>
                <w:lang w:bidi="cs-CZ"/>
              </w:rPr>
              <w:t xml:space="preserve"> mm</w:t>
            </w:r>
          </w:p>
        </w:tc>
      </w:tr>
      <w:tr w:rsidR="002125AB" w:rsidTr="0028021D">
        <w:trPr>
          <w:trHeight w:val="397"/>
        </w:trPr>
        <w:tc>
          <w:tcPr>
            <w:tcW w:w="3114" w:type="dxa"/>
            <w:shd w:val="clear" w:color="auto" w:fill="auto"/>
            <w:vAlign w:val="center"/>
          </w:tcPr>
          <w:p w:rsidR="002125AB" w:rsidRPr="003452FF" w:rsidRDefault="002125AB" w:rsidP="002125AB">
            <w:pPr>
              <w:spacing w:line="276" w:lineRule="auto"/>
              <w:rPr>
                <w:lang w:val="cs" w:bidi="cs-CZ"/>
              </w:rPr>
            </w:pPr>
            <w:r w:rsidRPr="003452FF">
              <w:rPr>
                <w:lang w:val="cs" w:bidi="cs-CZ"/>
              </w:rPr>
              <w:t xml:space="preserve">Odolnost proti žmolkování, </w:t>
            </w:r>
          </w:p>
          <w:p w:rsidR="002125AB" w:rsidRPr="003452FF" w:rsidRDefault="002125AB" w:rsidP="002125AB">
            <w:pPr>
              <w:spacing w:line="276" w:lineRule="auto"/>
              <w:rPr>
                <w:lang w:val="cs" w:bidi="cs-CZ"/>
              </w:rPr>
            </w:pPr>
            <w:r w:rsidRPr="003452FF">
              <w:rPr>
                <w:lang w:val="cs" w:bidi="cs-CZ"/>
              </w:rPr>
              <w:t>7000 otáček</w:t>
            </w:r>
          </w:p>
        </w:tc>
        <w:tc>
          <w:tcPr>
            <w:tcW w:w="2922" w:type="dxa"/>
            <w:shd w:val="clear" w:color="auto" w:fill="auto"/>
            <w:vAlign w:val="center"/>
          </w:tcPr>
          <w:p w:rsidR="002125AB" w:rsidRPr="003452FF" w:rsidRDefault="002125AB" w:rsidP="002125AB">
            <w:pPr>
              <w:spacing w:line="276" w:lineRule="auto"/>
              <w:rPr>
                <w:lang w:val="cs" w:bidi="cs-CZ"/>
              </w:rPr>
            </w:pPr>
            <w:r w:rsidRPr="003452FF">
              <w:rPr>
                <w:lang w:val="cs" w:bidi="cs-CZ"/>
              </w:rPr>
              <w:t>ČSN EN ISO 12945-2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25AB" w:rsidRDefault="002125AB" w:rsidP="002125AB">
            <w:pPr>
              <w:spacing w:line="276" w:lineRule="auto"/>
              <w:jc w:val="center"/>
              <w:rPr>
                <w:lang w:bidi="cs-CZ"/>
              </w:rPr>
            </w:pPr>
            <w:r w:rsidRPr="00FC1055">
              <w:rPr>
                <w:lang w:bidi="cs-CZ"/>
              </w:rPr>
              <w:t>min. 3-4</w:t>
            </w:r>
          </w:p>
          <w:p w:rsidR="002125AB" w:rsidRPr="00FC1055" w:rsidRDefault="002125AB" w:rsidP="002125AB">
            <w:pPr>
              <w:spacing w:line="276" w:lineRule="auto"/>
              <w:jc w:val="center"/>
              <w:rPr>
                <w:lang w:bidi="cs-CZ"/>
              </w:rPr>
            </w:pPr>
            <w:r w:rsidRPr="00FC1055">
              <w:rPr>
                <w:lang w:bidi="cs-CZ"/>
              </w:rPr>
              <w:t>stupeň</w:t>
            </w:r>
          </w:p>
        </w:tc>
      </w:tr>
      <w:tr w:rsidR="002125AB" w:rsidTr="0028021D">
        <w:trPr>
          <w:trHeight w:val="397"/>
        </w:trPr>
        <w:tc>
          <w:tcPr>
            <w:tcW w:w="3114" w:type="dxa"/>
            <w:shd w:val="clear" w:color="auto" w:fill="auto"/>
            <w:vAlign w:val="center"/>
          </w:tcPr>
          <w:p w:rsidR="002125AB" w:rsidRPr="003452FF" w:rsidRDefault="002125AB" w:rsidP="002125AB">
            <w:pPr>
              <w:spacing w:line="276" w:lineRule="auto"/>
              <w:rPr>
                <w:lang w:val="cs" w:bidi="cs-CZ"/>
              </w:rPr>
            </w:pPr>
            <w:r w:rsidRPr="003452FF">
              <w:rPr>
                <w:lang w:val="cs" w:bidi="cs-CZ"/>
              </w:rPr>
              <w:t>Odolnost proti oděru</w:t>
            </w:r>
          </w:p>
        </w:tc>
        <w:tc>
          <w:tcPr>
            <w:tcW w:w="2922" w:type="dxa"/>
            <w:shd w:val="clear" w:color="auto" w:fill="auto"/>
            <w:vAlign w:val="center"/>
          </w:tcPr>
          <w:p w:rsidR="002125AB" w:rsidRPr="003452FF" w:rsidRDefault="002125AB" w:rsidP="002125AB">
            <w:pPr>
              <w:spacing w:line="276" w:lineRule="auto"/>
              <w:rPr>
                <w:lang w:val="cs" w:bidi="cs-CZ"/>
              </w:rPr>
            </w:pPr>
            <w:r w:rsidRPr="003452FF">
              <w:rPr>
                <w:lang w:val="cs" w:bidi="cs-CZ"/>
              </w:rPr>
              <w:t>ČSN EN ISO 12947-2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25AB" w:rsidRPr="00FC1055" w:rsidRDefault="002125AB" w:rsidP="00C12C41">
            <w:pPr>
              <w:spacing w:line="276" w:lineRule="auto"/>
              <w:jc w:val="center"/>
              <w:rPr>
                <w:lang w:bidi="cs-CZ"/>
              </w:rPr>
            </w:pPr>
            <w:r w:rsidRPr="00FC1055">
              <w:rPr>
                <w:lang w:bidi="cs-CZ"/>
              </w:rPr>
              <w:t>min. 2</w:t>
            </w:r>
            <w:r w:rsidR="00C12C41">
              <w:rPr>
                <w:lang w:bidi="cs-CZ"/>
              </w:rPr>
              <w:t>0</w:t>
            </w:r>
            <w:r>
              <w:rPr>
                <w:lang w:bidi="cs-CZ"/>
              </w:rPr>
              <w:t> </w:t>
            </w:r>
            <w:r w:rsidRPr="00FC1055">
              <w:rPr>
                <w:lang w:bidi="cs-CZ"/>
              </w:rPr>
              <w:t>000</w:t>
            </w:r>
            <w:r>
              <w:rPr>
                <w:lang w:bidi="cs-CZ"/>
              </w:rPr>
              <w:t xml:space="preserve"> otáček</w:t>
            </w:r>
          </w:p>
        </w:tc>
      </w:tr>
    </w:tbl>
    <w:p w:rsidR="002125AB" w:rsidRDefault="002125AB" w:rsidP="003452FF">
      <w:pPr>
        <w:spacing w:after="0" w:line="276" w:lineRule="auto"/>
        <w:jc w:val="both"/>
        <w:rPr>
          <w:lang w:bidi="cs-CZ"/>
        </w:rPr>
      </w:pPr>
    </w:p>
    <w:p w:rsidR="00A652E9" w:rsidRDefault="00A652E9" w:rsidP="00A652E9">
      <w:pPr>
        <w:spacing w:after="0" w:line="276" w:lineRule="auto"/>
        <w:jc w:val="both"/>
        <w:rPr>
          <w:lang w:bidi="cs-CZ"/>
        </w:rPr>
      </w:pPr>
      <w:r w:rsidRPr="00245298">
        <w:rPr>
          <w:lang w:bidi="cs-CZ"/>
        </w:rPr>
        <w:t>Poznámka: Pokud jsou v tabulce u jednoho ukazatele uvedeny dvě hodnoty stálobarevnosti oddělené lomítkem, znamená to, že před lomítkem je uvedena hodnota pro změnu odstínu původního materiálu a za lomítkem je uvedena hodnota pro zapouštění na tu z předepsaných doprovodných tkanin, která při zkoušce vykázala horší výsledek.</w:t>
      </w:r>
    </w:p>
    <w:p w:rsidR="00A652E9" w:rsidRPr="00245298" w:rsidRDefault="00A652E9" w:rsidP="00A652E9">
      <w:pPr>
        <w:spacing w:after="0" w:line="276" w:lineRule="auto"/>
        <w:jc w:val="both"/>
        <w:rPr>
          <w:lang w:bidi="cs-CZ"/>
        </w:rPr>
      </w:pPr>
    </w:p>
    <w:p w:rsidR="00A652E9" w:rsidRPr="00245298" w:rsidRDefault="00A652E9" w:rsidP="00A652E9">
      <w:pPr>
        <w:numPr>
          <w:ilvl w:val="1"/>
          <w:numId w:val="1"/>
        </w:numPr>
        <w:spacing w:after="0" w:line="276" w:lineRule="auto"/>
        <w:jc w:val="both"/>
        <w:rPr>
          <w:lang w:bidi="cs-CZ"/>
        </w:rPr>
      </w:pPr>
      <w:r w:rsidRPr="00245298">
        <w:rPr>
          <w:lang w:bidi="cs-CZ"/>
        </w:rPr>
        <w:lastRenderedPageBreak/>
        <w:t>Na parametry uvedené v</w:t>
      </w:r>
      <w:r>
        <w:rPr>
          <w:lang w:bidi="cs-CZ"/>
        </w:rPr>
        <w:t> </w:t>
      </w:r>
      <w:r w:rsidRPr="00245298">
        <w:rPr>
          <w:lang w:bidi="cs-CZ"/>
        </w:rPr>
        <w:t>tabul</w:t>
      </w:r>
      <w:r>
        <w:rPr>
          <w:lang w:bidi="cs-CZ"/>
        </w:rPr>
        <w:t>kách dle 4.2</w:t>
      </w:r>
      <w:r w:rsidRPr="00245298">
        <w:rPr>
          <w:lang w:bidi="cs-CZ"/>
        </w:rPr>
        <w:t xml:space="preserve"> jsou požadovány zkušební protokoly akreditované zkušební laboratoře. Další </w:t>
      </w:r>
      <w:r>
        <w:rPr>
          <w:lang w:bidi="cs-CZ"/>
        </w:rPr>
        <w:t>specifikace použitého materiálu</w:t>
      </w:r>
      <w:r w:rsidRPr="00245298">
        <w:rPr>
          <w:lang w:bidi="cs-CZ"/>
        </w:rPr>
        <w:t xml:space="preserve">, tj. materiálové složení, úprava, </w:t>
      </w:r>
      <w:r>
        <w:rPr>
          <w:lang w:bidi="cs-CZ"/>
        </w:rPr>
        <w:t xml:space="preserve">vazba, </w:t>
      </w:r>
      <w:r w:rsidRPr="00245298">
        <w:rPr>
          <w:lang w:bidi="cs-CZ"/>
        </w:rPr>
        <w:t xml:space="preserve">symboly údržby podle ČSN EN ISO 3758 musí být doloženy materiálovým listem. Na materiálovém listu bude uvedeno datum vyhotovení a bude opatřen razítkem a podpisem uchazeče. V případě, </w:t>
      </w:r>
      <w:r w:rsidR="001C0A4C">
        <w:rPr>
          <w:lang w:bidi="cs-CZ"/>
        </w:rPr>
        <w:br/>
      </w:r>
      <w:r w:rsidRPr="00245298">
        <w:rPr>
          <w:lang w:bidi="cs-CZ"/>
        </w:rPr>
        <w:t>že materiálový list požadované parametry neobsahuje, je nutné je doložit protokolem zkušební laboratoře.</w:t>
      </w:r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</w:p>
    <w:p w:rsidR="00245298" w:rsidRPr="00245298" w:rsidRDefault="00245298" w:rsidP="003452FF">
      <w:pPr>
        <w:numPr>
          <w:ilvl w:val="0"/>
          <w:numId w:val="1"/>
        </w:numPr>
        <w:spacing w:after="0" w:line="276" w:lineRule="auto"/>
        <w:jc w:val="both"/>
        <w:rPr>
          <w:b/>
          <w:bCs/>
          <w:lang w:bidi="cs-CZ"/>
        </w:rPr>
      </w:pPr>
      <w:bookmarkStart w:id="5" w:name="bookmark5"/>
      <w:r w:rsidRPr="00245298">
        <w:rPr>
          <w:b/>
          <w:bCs/>
          <w:lang w:bidi="cs-CZ"/>
        </w:rPr>
        <w:t>ZNAČENÍ</w:t>
      </w:r>
      <w:bookmarkEnd w:id="5"/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  <w:r w:rsidRPr="00245298">
        <w:rPr>
          <w:lang w:bidi="cs-CZ"/>
        </w:rPr>
        <w:t>Značení musí vyhovovat požadavkům zákona o ochraně spotřebitele č. 634/1992 Sb. v platném znění a Nařízení Evropského parlamentu a Rady (EU) č. 1007/2011 o názvech textilních vláken a souvisejícím označování materiálového složení textilních výrobků. Konkrétní požadavky pro textilní výrobky stanoví ČSN 80 3010.</w:t>
      </w:r>
    </w:p>
    <w:p w:rsidR="00245298" w:rsidRDefault="00245298" w:rsidP="003452FF">
      <w:pPr>
        <w:spacing w:after="0" w:line="276" w:lineRule="auto"/>
        <w:jc w:val="both"/>
        <w:rPr>
          <w:lang w:bidi="cs-CZ"/>
        </w:rPr>
      </w:pPr>
      <w:r w:rsidRPr="00245298">
        <w:rPr>
          <w:lang w:bidi="cs-CZ"/>
        </w:rPr>
        <w:t xml:space="preserve">Značení je uvedeno na </w:t>
      </w:r>
      <w:r w:rsidRPr="00245298">
        <w:rPr>
          <w:b/>
          <w:bCs/>
          <w:lang w:bidi="cs-CZ"/>
        </w:rPr>
        <w:t>textilní etiketě</w:t>
      </w:r>
      <w:r w:rsidR="00D4717D">
        <w:rPr>
          <w:b/>
          <w:bCs/>
          <w:lang w:bidi="cs-CZ"/>
        </w:rPr>
        <w:t xml:space="preserve"> </w:t>
      </w:r>
      <w:r w:rsidR="00D4717D" w:rsidRPr="00D4717D">
        <w:rPr>
          <w:bCs/>
          <w:lang w:bidi="cs-CZ"/>
        </w:rPr>
        <w:t>v barvě bílé, písmo černé</w:t>
      </w:r>
      <w:r w:rsidRPr="00245298">
        <w:rPr>
          <w:lang w:bidi="cs-CZ"/>
        </w:rPr>
        <w:t xml:space="preserve">, která je </w:t>
      </w:r>
      <w:r w:rsidR="00C12C41" w:rsidRPr="00C12C41">
        <w:rPr>
          <w:lang w:bidi="cs-CZ"/>
        </w:rPr>
        <w:t xml:space="preserve">všitá </w:t>
      </w:r>
      <w:r w:rsidR="008D4275" w:rsidRPr="00C12C41">
        <w:rPr>
          <w:lang w:bidi="cs-CZ"/>
        </w:rPr>
        <w:t xml:space="preserve">do pasového švu </w:t>
      </w:r>
      <w:r w:rsidR="008D4275">
        <w:rPr>
          <w:lang w:bidi="cs-CZ"/>
        </w:rPr>
        <w:t xml:space="preserve">z vnitřní strany </w:t>
      </w:r>
      <w:r w:rsidR="008D4275" w:rsidRPr="00C12C41">
        <w:rPr>
          <w:lang w:bidi="cs-CZ"/>
        </w:rPr>
        <w:t xml:space="preserve">na střed </w:t>
      </w:r>
      <w:r w:rsidR="008D4275">
        <w:rPr>
          <w:lang w:bidi="cs-CZ"/>
        </w:rPr>
        <w:t>kapesního váčku pravého</w:t>
      </w:r>
      <w:r w:rsidR="008D4275" w:rsidRPr="00C12C41">
        <w:rPr>
          <w:lang w:bidi="cs-CZ"/>
        </w:rPr>
        <w:t xml:space="preserve"> zadního dílu.</w:t>
      </w:r>
    </w:p>
    <w:p w:rsidR="008D4275" w:rsidRPr="00245298" w:rsidRDefault="008D4275" w:rsidP="003452FF">
      <w:pPr>
        <w:spacing w:after="0" w:line="276" w:lineRule="auto"/>
        <w:jc w:val="both"/>
        <w:rPr>
          <w:lang w:bidi="cs-CZ"/>
        </w:rPr>
      </w:pPr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  <w:r w:rsidRPr="00245298">
        <w:rPr>
          <w:lang w:bidi="cs-CZ"/>
        </w:rPr>
        <w:t>Obsahuje údaje:</w:t>
      </w:r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  <w:r w:rsidRPr="00245298">
        <w:rPr>
          <w:lang w:bidi="cs-CZ"/>
        </w:rPr>
        <w:t>název výrobku</w:t>
      </w:r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  <w:r w:rsidRPr="00245298">
        <w:rPr>
          <w:lang w:bidi="cs-CZ"/>
        </w:rPr>
        <w:t>výrobce (dodavatel)</w:t>
      </w:r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  <w:r w:rsidRPr="00245298">
        <w:rPr>
          <w:lang w:bidi="cs-CZ"/>
        </w:rPr>
        <w:t>velikost</w:t>
      </w:r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  <w:r w:rsidRPr="00245298">
        <w:rPr>
          <w:lang w:bidi="cs-CZ"/>
        </w:rPr>
        <w:t>složení materiálu</w:t>
      </w:r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  <w:r w:rsidRPr="00245298">
        <w:rPr>
          <w:lang w:bidi="cs-CZ"/>
        </w:rPr>
        <w:t>symboly ošetřování</w:t>
      </w:r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  <w:r w:rsidRPr="00245298">
        <w:rPr>
          <w:lang w:bidi="cs-CZ"/>
        </w:rPr>
        <w:t>datum výroby ve tvaru mm/rrrr (měsíc/rok například 01/2018)</w:t>
      </w:r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  <w:r w:rsidRPr="00245298">
        <w:rPr>
          <w:lang w:bidi="cs-CZ"/>
        </w:rPr>
        <w:t>Etiketa je stálobarevná v údržbě.</w:t>
      </w:r>
    </w:p>
    <w:p w:rsidR="00DF021B" w:rsidRDefault="00DF021B" w:rsidP="003452FF">
      <w:pPr>
        <w:spacing w:after="0" w:line="276" w:lineRule="auto"/>
        <w:jc w:val="both"/>
        <w:rPr>
          <w:lang w:bidi="cs-CZ"/>
        </w:rPr>
      </w:pPr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  <w:r w:rsidRPr="00245298">
        <w:rPr>
          <w:lang w:bidi="cs-CZ"/>
        </w:rPr>
        <w:t xml:space="preserve">Každý výrobek je dále opatřen </w:t>
      </w:r>
      <w:r w:rsidRPr="00245298">
        <w:rPr>
          <w:b/>
          <w:bCs/>
          <w:lang w:bidi="cs-CZ"/>
        </w:rPr>
        <w:t>papírovou visačkou</w:t>
      </w:r>
      <w:r w:rsidRPr="00245298">
        <w:rPr>
          <w:lang w:bidi="cs-CZ"/>
        </w:rPr>
        <w:t xml:space="preserve">, která je umístěna </w:t>
      </w:r>
      <w:r w:rsidR="008F31B3">
        <w:rPr>
          <w:lang w:bidi="cs-CZ"/>
        </w:rPr>
        <w:t>v bočním švu</w:t>
      </w:r>
      <w:r w:rsidRPr="00245298">
        <w:rPr>
          <w:lang w:bidi="cs-CZ"/>
        </w:rPr>
        <w:t xml:space="preserve"> a obsahuje:</w:t>
      </w:r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  <w:r w:rsidRPr="00245298">
        <w:rPr>
          <w:lang w:bidi="cs-CZ"/>
        </w:rPr>
        <w:t>název výrobku</w:t>
      </w:r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  <w:r w:rsidRPr="00245298">
        <w:rPr>
          <w:lang w:bidi="cs-CZ"/>
        </w:rPr>
        <w:t>výrobce (dodavatel)</w:t>
      </w:r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  <w:r w:rsidRPr="00245298">
        <w:rPr>
          <w:lang w:bidi="cs-CZ"/>
        </w:rPr>
        <w:t>datum výroby ve tvaru mm/rrrr (měsíc/rok například 01/2018)</w:t>
      </w:r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</w:p>
    <w:p w:rsidR="00245298" w:rsidRPr="00245298" w:rsidRDefault="00245298" w:rsidP="003452FF">
      <w:pPr>
        <w:numPr>
          <w:ilvl w:val="0"/>
          <w:numId w:val="1"/>
        </w:numPr>
        <w:spacing w:after="0" w:line="276" w:lineRule="auto"/>
        <w:jc w:val="both"/>
        <w:rPr>
          <w:b/>
          <w:bCs/>
          <w:lang w:bidi="cs-CZ"/>
        </w:rPr>
      </w:pPr>
      <w:bookmarkStart w:id="6" w:name="bookmark7"/>
      <w:r w:rsidRPr="00245298">
        <w:rPr>
          <w:b/>
          <w:bCs/>
          <w:lang w:bidi="cs-CZ"/>
        </w:rPr>
        <w:t>POKYNY PRO SYSTÉM KONTROL, ZKOUŠENÍ A KONEČNOU KONTROLU</w:t>
      </w:r>
      <w:bookmarkEnd w:id="6"/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  <w:r w:rsidRPr="00245298">
        <w:rPr>
          <w:lang w:bidi="cs-CZ"/>
        </w:rPr>
        <w:t>Hotové výrobky musí odpovídat požadavkům platných technických norem, těmto technickým podmínkám a referenčnímu vzorku. Jakost použitého materiálu se zkouší podle ČSN 80 3014/ ČSN 80 7030/ ČSN 80 7010, pevnost švů, počet stehů, rozměry, celkové provedení a vzhled výrobku. Oděv se vyrábí pouze v 1. jakosti. Záruční doba na výrobky je 2 roky od předání konečnému uživateli. V případě zjištění závad a uplatnění reklamace vůči výrobci se bude postupovat v souladu s Občanským zákoníkem a kupní smlouvou. Místem reklamačních oprav je sídlo zhotovitele zakázky.</w:t>
      </w:r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</w:p>
    <w:p w:rsidR="00245298" w:rsidRPr="00245298" w:rsidRDefault="00245298" w:rsidP="003452FF">
      <w:pPr>
        <w:numPr>
          <w:ilvl w:val="0"/>
          <w:numId w:val="1"/>
        </w:numPr>
        <w:spacing w:after="0" w:line="276" w:lineRule="auto"/>
        <w:jc w:val="both"/>
        <w:rPr>
          <w:b/>
          <w:bCs/>
          <w:lang w:bidi="cs-CZ"/>
        </w:rPr>
      </w:pPr>
      <w:bookmarkStart w:id="7" w:name="bookmark8"/>
      <w:r w:rsidRPr="00245298">
        <w:rPr>
          <w:b/>
          <w:bCs/>
          <w:lang w:bidi="cs-CZ"/>
        </w:rPr>
        <w:t>POKYNY PRO ÚDRŽBU A OPRAVY</w:t>
      </w:r>
      <w:bookmarkEnd w:id="7"/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</w:p>
    <w:p w:rsidR="00245298" w:rsidRDefault="00245298" w:rsidP="003452FF">
      <w:pPr>
        <w:spacing w:after="0" w:line="276" w:lineRule="auto"/>
        <w:jc w:val="both"/>
        <w:rPr>
          <w:lang w:bidi="cs-CZ"/>
        </w:rPr>
      </w:pPr>
      <w:r w:rsidRPr="00245298">
        <w:rPr>
          <w:lang w:bidi="cs-CZ"/>
        </w:rPr>
        <w:t>Vady zboží, které se projeví během záruční doby, se řeší v souladu s Kupní smlouvou.</w:t>
      </w:r>
    </w:p>
    <w:p w:rsidR="003452FF" w:rsidRPr="00245298" w:rsidRDefault="003452FF" w:rsidP="003452FF">
      <w:pPr>
        <w:spacing w:after="0" w:line="276" w:lineRule="auto"/>
        <w:jc w:val="both"/>
        <w:rPr>
          <w:lang w:bidi="cs-CZ"/>
        </w:rPr>
      </w:pPr>
    </w:p>
    <w:p w:rsidR="00245298" w:rsidRPr="00245298" w:rsidRDefault="00245298" w:rsidP="003452FF">
      <w:pPr>
        <w:numPr>
          <w:ilvl w:val="0"/>
          <w:numId w:val="1"/>
        </w:numPr>
        <w:spacing w:after="0" w:line="276" w:lineRule="auto"/>
        <w:jc w:val="both"/>
        <w:rPr>
          <w:b/>
          <w:bCs/>
          <w:lang w:bidi="cs-CZ"/>
        </w:rPr>
      </w:pPr>
      <w:bookmarkStart w:id="8" w:name="bookmark9"/>
      <w:r w:rsidRPr="00245298">
        <w:rPr>
          <w:b/>
          <w:bCs/>
          <w:lang w:bidi="cs-CZ"/>
        </w:rPr>
        <w:lastRenderedPageBreak/>
        <w:t>BALENÍ, SKLADOVÁNÍ, EKOLOGICKÁ LIKVIDACE</w:t>
      </w:r>
      <w:bookmarkEnd w:id="8"/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</w:p>
    <w:p w:rsidR="00A652E9" w:rsidRPr="00245298" w:rsidRDefault="00A652E9" w:rsidP="00A652E9">
      <w:pPr>
        <w:spacing w:after="0" w:line="276" w:lineRule="auto"/>
        <w:jc w:val="both"/>
        <w:rPr>
          <w:lang w:bidi="cs-CZ"/>
        </w:rPr>
        <w:sectPr w:rsidR="00A652E9" w:rsidRPr="00245298" w:rsidSect="002125AB">
          <w:headerReference w:type="default" r:id="rId10"/>
          <w:pgSz w:w="11900" w:h="16840"/>
          <w:pgMar w:top="1701" w:right="1418" w:bottom="1418" w:left="1418" w:header="845" w:footer="6" w:gutter="0"/>
          <w:pgNumType w:start="1"/>
          <w:cols w:space="720"/>
          <w:noEndnote/>
          <w:docGrid w:linePitch="360"/>
        </w:sectPr>
      </w:pPr>
      <w:bookmarkStart w:id="9" w:name="bookmark10"/>
      <w:r>
        <w:rPr>
          <w:lang w:bidi="cs-CZ"/>
        </w:rPr>
        <w:t>Oděvy</w:t>
      </w:r>
      <w:r w:rsidRPr="00245298">
        <w:rPr>
          <w:lang w:bidi="cs-CZ"/>
        </w:rPr>
        <w:t xml:space="preserve"> se dodávají na ramínkách v PE sáčku. </w:t>
      </w:r>
      <w:r>
        <w:rPr>
          <w:lang w:bidi="cs-CZ"/>
        </w:rPr>
        <w:t>Oděvy</w:t>
      </w:r>
      <w:r w:rsidRPr="00245298">
        <w:rPr>
          <w:lang w:bidi="cs-CZ"/>
        </w:rPr>
        <w:t xml:space="preserve"> se skladují v suchých, větraných prostorách </w:t>
      </w:r>
      <w:r>
        <w:rPr>
          <w:lang w:bidi="cs-CZ"/>
        </w:rPr>
        <w:br/>
      </w:r>
      <w:r w:rsidRPr="00245298">
        <w:rPr>
          <w:lang w:bidi="cs-CZ"/>
        </w:rPr>
        <w:t xml:space="preserve">a nesmějí být vystaveny přímým účinkům slunečního záření a sálavému teplu. Doprava se provádí </w:t>
      </w:r>
      <w:r>
        <w:rPr>
          <w:lang w:bidi="cs-CZ"/>
        </w:rPr>
        <w:br/>
      </w:r>
      <w:r w:rsidRPr="00245298">
        <w:rPr>
          <w:lang w:bidi="cs-CZ"/>
        </w:rPr>
        <w:t>na ramínkách zavěšených na tyči. Likvidace výrobku se provádí v souladu se zákonem č. 185/2001 Sb., o odpadech a o změně některých dalších zákonů, ve znění pozdějších předpisů a v souladu s příslušnými prováděcími předpisy v platném znění.</w:t>
      </w:r>
    </w:p>
    <w:p w:rsidR="00245298" w:rsidRPr="00245298" w:rsidRDefault="00245298" w:rsidP="00245298">
      <w:pPr>
        <w:numPr>
          <w:ilvl w:val="0"/>
          <w:numId w:val="1"/>
        </w:numPr>
        <w:rPr>
          <w:b/>
          <w:bCs/>
          <w:lang w:bidi="cs-CZ"/>
        </w:rPr>
      </w:pPr>
      <w:r w:rsidRPr="00245298">
        <w:rPr>
          <w:b/>
          <w:bCs/>
          <w:lang w:bidi="cs-CZ"/>
        </w:rPr>
        <w:lastRenderedPageBreak/>
        <w:t>TECHNICKÝ NÁKRES</w:t>
      </w:r>
      <w:bookmarkEnd w:id="9"/>
    </w:p>
    <w:p w:rsidR="00245298" w:rsidRDefault="00245298" w:rsidP="00245298">
      <w:pPr>
        <w:rPr>
          <w:lang w:bidi="cs-CZ"/>
        </w:rPr>
      </w:pPr>
    </w:p>
    <w:p w:rsidR="00DF021B" w:rsidRPr="00245298" w:rsidRDefault="00DF021B" w:rsidP="00245298">
      <w:pPr>
        <w:rPr>
          <w:lang w:bidi="cs-CZ"/>
        </w:rPr>
        <w:sectPr w:rsidR="00DF021B" w:rsidRPr="00245298" w:rsidSect="00245298">
          <w:headerReference w:type="default" r:id="rId11"/>
          <w:pgSz w:w="11900" w:h="16840"/>
          <w:pgMar w:top="1417" w:right="1417" w:bottom="1417" w:left="1417" w:header="960" w:footer="3" w:gutter="0"/>
          <w:cols w:space="720"/>
          <w:noEndnote/>
          <w:docGrid w:linePitch="360"/>
        </w:sectPr>
      </w:pPr>
    </w:p>
    <w:p w:rsidR="00245298" w:rsidRPr="00245298" w:rsidRDefault="00433B2A" w:rsidP="00245298">
      <w:pPr>
        <w:rPr>
          <w:lang w:bidi="cs-CZ"/>
        </w:rPr>
      </w:pPr>
      <w:r>
        <w:rPr>
          <w:noProof/>
          <w:lang w:eastAsia="cs-CZ"/>
        </w:rPr>
        <w:drawing>
          <wp:inline distT="0" distB="0" distL="0" distR="0" wp14:anchorId="49A667E4">
            <wp:extent cx="5675630" cy="6962140"/>
            <wp:effectExtent l="0" t="0" r="127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5630" cy="6962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45298" w:rsidRPr="00245298" w:rsidRDefault="00245298" w:rsidP="00245298">
      <w:pPr>
        <w:rPr>
          <w:lang w:bidi="cs-CZ"/>
        </w:rPr>
      </w:pPr>
    </w:p>
    <w:p w:rsidR="00245298" w:rsidRPr="00245298" w:rsidRDefault="00245298" w:rsidP="00245298">
      <w:pPr>
        <w:rPr>
          <w:lang w:bidi="cs-CZ"/>
        </w:rPr>
      </w:pPr>
    </w:p>
    <w:p w:rsidR="00245298" w:rsidRPr="00245298" w:rsidRDefault="00245298" w:rsidP="00245298">
      <w:pPr>
        <w:rPr>
          <w:lang w:bidi="cs-CZ"/>
        </w:rPr>
        <w:sectPr w:rsidR="00245298" w:rsidRPr="00245298" w:rsidSect="00245298">
          <w:type w:val="continuous"/>
          <w:pgSz w:w="11900" w:h="16840"/>
          <w:pgMar w:top="1417" w:right="1417" w:bottom="1417" w:left="1417" w:header="0" w:footer="3" w:gutter="0"/>
          <w:cols w:space="720"/>
          <w:noEndnote/>
          <w:docGrid w:linePitch="360"/>
        </w:sectPr>
      </w:pPr>
    </w:p>
    <w:p w:rsidR="00245298" w:rsidRPr="00245298" w:rsidRDefault="00245298" w:rsidP="00245298">
      <w:pPr>
        <w:rPr>
          <w:lang w:bidi="cs-CZ"/>
        </w:rPr>
      </w:pPr>
    </w:p>
    <w:p w:rsidR="00245298" w:rsidRPr="00245298" w:rsidRDefault="00245298" w:rsidP="00245298">
      <w:pPr>
        <w:rPr>
          <w:lang w:bidi="cs-CZ"/>
        </w:rPr>
        <w:sectPr w:rsidR="00245298" w:rsidRPr="00245298" w:rsidSect="00245298">
          <w:type w:val="continuous"/>
          <w:pgSz w:w="11900" w:h="16840"/>
          <w:pgMar w:top="1417" w:right="1417" w:bottom="1417" w:left="1417" w:header="935" w:footer="3" w:gutter="0"/>
          <w:cols w:space="720"/>
          <w:noEndnote/>
          <w:docGrid w:linePitch="360"/>
        </w:sectPr>
      </w:pPr>
    </w:p>
    <w:p w:rsidR="00245298" w:rsidRPr="00245298" w:rsidRDefault="00245298" w:rsidP="00245298">
      <w:pPr>
        <w:numPr>
          <w:ilvl w:val="0"/>
          <w:numId w:val="1"/>
        </w:numPr>
        <w:spacing w:after="0"/>
      </w:pPr>
      <w:r w:rsidRPr="00245298">
        <w:rPr>
          <w:b/>
          <w:bCs/>
          <w:lang w:bidi="cs-CZ"/>
        </w:rPr>
        <w:lastRenderedPageBreak/>
        <w:t>TABULKY KONTROLNÍCH MĚR</w:t>
      </w:r>
      <w:r w:rsidRPr="00245298">
        <w:rPr>
          <w:lang w:bidi="cs-CZ"/>
        </w:rPr>
        <w:fldChar w:fldCharType="begin"/>
      </w:r>
      <w:r w:rsidRPr="00245298">
        <w:rPr>
          <w:lang w:bidi="cs-CZ"/>
        </w:rPr>
        <w:instrText xml:space="preserve"> LINK Excel.Sheet.12 "\\\\bphs-dc2.blazek.local\\Blazek_Data\\VYROBA\\PROFESNÍ\\SŽDC\\NOVÝ NÁVRH 2018\\TECHNICKÁ DOKUMENTACE\\DÁMSKÁ\\TKM SŽDC 2018.xlsx" "D Sako 940402!R3C1:R24C18" \a \f 5 \h  \* MERGEFORMAT </w:instrText>
      </w:r>
      <w:r w:rsidRPr="00245298">
        <w:rPr>
          <w:lang w:bidi="cs-CZ"/>
        </w:rPr>
        <w:fldChar w:fldCharType="separate"/>
      </w:r>
    </w:p>
    <w:p w:rsidR="00245298" w:rsidRDefault="00245298" w:rsidP="00245298">
      <w:pPr>
        <w:spacing w:after="0"/>
      </w:pPr>
      <w:r w:rsidRPr="00245298">
        <w:fldChar w:fldCharType="end"/>
      </w:r>
    </w:p>
    <w:p w:rsidR="00607AB9" w:rsidRPr="007C3144" w:rsidRDefault="00607AB9" w:rsidP="00607AB9">
      <w:pPr>
        <w:spacing w:after="0"/>
        <w:rPr>
          <w:b/>
        </w:rPr>
      </w:pPr>
      <w:r w:rsidRPr="007C3144">
        <w:rPr>
          <w:b/>
        </w:rPr>
        <w:t>Kalkulační velikost: 1</w:t>
      </w:r>
      <w:r w:rsidR="00DF021B">
        <w:rPr>
          <w:b/>
        </w:rPr>
        <w:t>82</w:t>
      </w:r>
      <w:r w:rsidRPr="007C3144">
        <w:rPr>
          <w:b/>
        </w:rPr>
        <w:t>-000-</w:t>
      </w:r>
      <w:r w:rsidR="00DF021B">
        <w:rPr>
          <w:b/>
        </w:rPr>
        <w:t>9</w:t>
      </w:r>
      <w:r w:rsidRPr="007C3144">
        <w:rPr>
          <w:b/>
        </w:rPr>
        <w:t>4</w:t>
      </w:r>
    </w:p>
    <w:p w:rsidR="00607AB9" w:rsidRDefault="00607AB9" w:rsidP="00245298">
      <w:pPr>
        <w:spacing w:after="0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43"/>
        <w:gridCol w:w="3736"/>
        <w:gridCol w:w="912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558"/>
      </w:tblGrid>
      <w:tr w:rsidR="00DF021B" w:rsidRPr="00DF021B" w:rsidTr="008A6227">
        <w:trPr>
          <w:trHeight w:val="315"/>
        </w:trPr>
        <w:tc>
          <w:tcPr>
            <w:tcW w:w="543" w:type="dxa"/>
            <w:tcBorders>
              <w:bottom w:val="nil"/>
              <w:right w:val="nil"/>
            </w:tcBorders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36" w:type="dxa"/>
            <w:tcBorders>
              <w:left w:val="nil"/>
              <w:bottom w:val="nil"/>
            </w:tcBorders>
            <w:vAlign w:val="center"/>
            <w:hideMark/>
          </w:tcPr>
          <w:p w:rsidR="00DF021B" w:rsidRPr="00DF021B" w:rsidRDefault="00DF021B" w:rsidP="00DF021B">
            <w:pPr>
              <w:rPr>
                <w:sz w:val="18"/>
                <w:szCs w:val="18"/>
              </w:rPr>
            </w:pPr>
          </w:p>
        </w:tc>
        <w:tc>
          <w:tcPr>
            <w:tcW w:w="912" w:type="dxa"/>
            <w:vMerge w:val="restart"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výška postavy</w:t>
            </w:r>
          </w:p>
        </w:tc>
        <w:tc>
          <w:tcPr>
            <w:tcW w:w="737" w:type="dxa"/>
            <w:tcBorders>
              <w:bottom w:val="nil"/>
              <w:right w:val="nil"/>
            </w:tcBorders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7" w:type="dxa"/>
            <w:tcBorders>
              <w:left w:val="nil"/>
              <w:bottom w:val="nil"/>
              <w:right w:val="nil"/>
            </w:tcBorders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7" w:type="dxa"/>
            <w:tcBorders>
              <w:left w:val="nil"/>
              <w:bottom w:val="nil"/>
              <w:right w:val="nil"/>
            </w:tcBorders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7" w:type="dxa"/>
            <w:tcBorders>
              <w:left w:val="nil"/>
              <w:bottom w:val="nil"/>
              <w:right w:val="nil"/>
            </w:tcBorders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7" w:type="dxa"/>
            <w:tcBorders>
              <w:left w:val="nil"/>
              <w:bottom w:val="nil"/>
              <w:right w:val="nil"/>
            </w:tcBorders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7" w:type="dxa"/>
            <w:tcBorders>
              <w:left w:val="nil"/>
              <w:bottom w:val="nil"/>
              <w:right w:val="nil"/>
            </w:tcBorders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7" w:type="dxa"/>
            <w:tcBorders>
              <w:left w:val="nil"/>
              <w:bottom w:val="nil"/>
              <w:right w:val="nil"/>
            </w:tcBorders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7" w:type="dxa"/>
            <w:tcBorders>
              <w:left w:val="nil"/>
              <w:bottom w:val="nil"/>
              <w:right w:val="nil"/>
            </w:tcBorders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7" w:type="dxa"/>
            <w:tcBorders>
              <w:left w:val="nil"/>
              <w:bottom w:val="nil"/>
            </w:tcBorders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58" w:type="dxa"/>
            <w:vMerge w:val="restart"/>
            <w:vAlign w:val="center"/>
            <w:hideMark/>
          </w:tcPr>
          <w:p w:rsidR="00DF021B" w:rsidRPr="00DF021B" w:rsidRDefault="00DF021B" w:rsidP="006E5AED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Tol</w:t>
            </w:r>
            <w:r>
              <w:rPr>
                <w:sz w:val="18"/>
                <w:szCs w:val="18"/>
              </w:rPr>
              <w:t>.</w:t>
            </w:r>
            <w:r w:rsidRPr="00DF021B">
              <w:rPr>
                <w:sz w:val="18"/>
                <w:szCs w:val="18"/>
              </w:rPr>
              <w:t xml:space="preserve"> </w:t>
            </w:r>
            <w:r w:rsidR="006E5AED">
              <w:rPr>
                <w:sz w:val="18"/>
                <w:szCs w:val="18"/>
              </w:rPr>
              <w:t>±</w:t>
            </w:r>
          </w:p>
        </w:tc>
      </w:tr>
      <w:tr w:rsidR="00DF021B" w:rsidRPr="00DF021B" w:rsidTr="008A6227">
        <w:trPr>
          <w:trHeight w:val="315"/>
        </w:trPr>
        <w:tc>
          <w:tcPr>
            <w:tcW w:w="543" w:type="dxa"/>
            <w:tcBorders>
              <w:top w:val="nil"/>
              <w:bottom w:val="single" w:sz="4" w:space="0" w:color="auto"/>
              <w:right w:val="nil"/>
            </w:tcBorders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</w:tcBorders>
            <w:vAlign w:val="center"/>
            <w:hideMark/>
          </w:tcPr>
          <w:p w:rsidR="00DF021B" w:rsidRPr="00DF021B" w:rsidRDefault="00DF021B" w:rsidP="00DF021B">
            <w:pPr>
              <w:rPr>
                <w:sz w:val="18"/>
                <w:szCs w:val="18"/>
              </w:rPr>
            </w:pPr>
          </w:p>
        </w:tc>
        <w:tc>
          <w:tcPr>
            <w:tcW w:w="912" w:type="dxa"/>
            <w:vMerge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nil"/>
              <w:right w:val="nil"/>
            </w:tcBorders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nil"/>
              <w:left w:val="nil"/>
            </w:tcBorders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58" w:type="dxa"/>
            <w:vMerge/>
            <w:vAlign w:val="center"/>
            <w:hideMark/>
          </w:tcPr>
          <w:p w:rsidR="00DF021B" w:rsidRPr="00DF021B" w:rsidRDefault="00DF021B" w:rsidP="00DF021B">
            <w:pPr>
              <w:rPr>
                <w:sz w:val="18"/>
                <w:szCs w:val="18"/>
              </w:rPr>
            </w:pPr>
          </w:p>
        </w:tc>
      </w:tr>
      <w:tr w:rsidR="00DF021B" w:rsidRPr="00DF021B" w:rsidTr="008A6227">
        <w:trPr>
          <w:trHeight w:val="315"/>
        </w:trPr>
        <w:tc>
          <w:tcPr>
            <w:tcW w:w="543" w:type="dxa"/>
            <w:tcBorders>
              <w:right w:val="nil"/>
            </w:tcBorders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36" w:type="dxa"/>
            <w:tcBorders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F021B" w:rsidRPr="00DF021B" w:rsidRDefault="003B4598" w:rsidP="00DF02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Velikost / o</w:t>
            </w:r>
            <w:r w:rsidRPr="008F31B3">
              <w:rPr>
                <w:sz w:val="18"/>
                <w:szCs w:val="18"/>
              </w:rPr>
              <w:t xml:space="preserve">bvod </w:t>
            </w:r>
            <w:r>
              <w:rPr>
                <w:sz w:val="18"/>
                <w:szCs w:val="18"/>
              </w:rPr>
              <w:t>pasu</w:t>
            </w:r>
            <w:r w:rsidRPr="008F31B3">
              <w:rPr>
                <w:sz w:val="18"/>
                <w:szCs w:val="18"/>
              </w:rPr>
              <w:t xml:space="preserve"> /</w:t>
            </w:r>
            <w:r w:rsidRPr="008F31B3">
              <w:rPr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912" w:type="dxa"/>
            <w:tcBorders>
              <w:left w:val="nil"/>
              <w:bottom w:val="single" w:sz="4" w:space="0" w:color="auto"/>
            </w:tcBorders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b/>
                <w:bCs/>
                <w:sz w:val="18"/>
                <w:szCs w:val="18"/>
              </w:rPr>
            </w:pPr>
            <w:r w:rsidRPr="00DF021B">
              <w:rPr>
                <w:b/>
                <w:bCs/>
                <w:sz w:val="18"/>
                <w:szCs w:val="18"/>
              </w:rPr>
              <w:t>78</w:t>
            </w:r>
          </w:p>
        </w:tc>
        <w:tc>
          <w:tcPr>
            <w:tcW w:w="737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b/>
                <w:bCs/>
                <w:sz w:val="18"/>
                <w:szCs w:val="18"/>
              </w:rPr>
            </w:pPr>
            <w:r w:rsidRPr="00DF021B">
              <w:rPr>
                <w:b/>
                <w:bCs/>
                <w:sz w:val="18"/>
                <w:szCs w:val="18"/>
              </w:rPr>
              <w:t>82</w:t>
            </w:r>
          </w:p>
        </w:tc>
        <w:tc>
          <w:tcPr>
            <w:tcW w:w="737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b/>
                <w:bCs/>
                <w:sz w:val="18"/>
                <w:szCs w:val="18"/>
              </w:rPr>
            </w:pPr>
            <w:r w:rsidRPr="00DF021B">
              <w:rPr>
                <w:b/>
                <w:bCs/>
                <w:sz w:val="18"/>
                <w:szCs w:val="18"/>
              </w:rPr>
              <w:t>88</w:t>
            </w:r>
          </w:p>
        </w:tc>
        <w:tc>
          <w:tcPr>
            <w:tcW w:w="737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b/>
                <w:bCs/>
                <w:sz w:val="18"/>
                <w:szCs w:val="18"/>
              </w:rPr>
            </w:pPr>
            <w:r w:rsidRPr="00DF021B">
              <w:rPr>
                <w:b/>
                <w:bCs/>
                <w:sz w:val="18"/>
                <w:szCs w:val="18"/>
              </w:rPr>
              <w:t>94</w:t>
            </w:r>
          </w:p>
        </w:tc>
        <w:tc>
          <w:tcPr>
            <w:tcW w:w="737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b/>
                <w:bCs/>
                <w:sz w:val="18"/>
                <w:szCs w:val="18"/>
              </w:rPr>
            </w:pPr>
            <w:r w:rsidRPr="00DF021B">
              <w:rPr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737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b/>
                <w:bCs/>
                <w:sz w:val="18"/>
                <w:szCs w:val="18"/>
              </w:rPr>
            </w:pPr>
            <w:r w:rsidRPr="00DF021B">
              <w:rPr>
                <w:b/>
                <w:bCs/>
                <w:sz w:val="18"/>
                <w:szCs w:val="18"/>
              </w:rPr>
              <w:t>106</w:t>
            </w:r>
          </w:p>
        </w:tc>
        <w:tc>
          <w:tcPr>
            <w:tcW w:w="737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b/>
                <w:bCs/>
                <w:sz w:val="18"/>
                <w:szCs w:val="18"/>
              </w:rPr>
            </w:pPr>
            <w:r w:rsidRPr="00DF021B">
              <w:rPr>
                <w:b/>
                <w:bCs/>
                <w:sz w:val="18"/>
                <w:szCs w:val="18"/>
              </w:rPr>
              <w:t>112</w:t>
            </w:r>
          </w:p>
        </w:tc>
        <w:tc>
          <w:tcPr>
            <w:tcW w:w="737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b/>
                <w:bCs/>
                <w:sz w:val="18"/>
                <w:szCs w:val="18"/>
              </w:rPr>
            </w:pPr>
            <w:r w:rsidRPr="00DF021B">
              <w:rPr>
                <w:b/>
                <w:bCs/>
                <w:sz w:val="18"/>
                <w:szCs w:val="18"/>
              </w:rPr>
              <w:t>118</w:t>
            </w:r>
          </w:p>
        </w:tc>
        <w:tc>
          <w:tcPr>
            <w:tcW w:w="737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b/>
                <w:bCs/>
                <w:sz w:val="18"/>
                <w:szCs w:val="18"/>
              </w:rPr>
            </w:pPr>
            <w:r w:rsidRPr="00DF021B">
              <w:rPr>
                <w:b/>
                <w:bCs/>
                <w:sz w:val="18"/>
                <w:szCs w:val="18"/>
              </w:rPr>
              <w:t>124</w:t>
            </w:r>
          </w:p>
        </w:tc>
        <w:tc>
          <w:tcPr>
            <w:tcW w:w="558" w:type="dxa"/>
            <w:tcBorders>
              <w:bottom w:val="single" w:sz="4" w:space="0" w:color="auto"/>
            </w:tcBorders>
            <w:vAlign w:val="center"/>
            <w:hideMark/>
          </w:tcPr>
          <w:p w:rsidR="00DF021B" w:rsidRPr="00DF021B" w:rsidRDefault="00DF021B" w:rsidP="00DF021B">
            <w:pPr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 </w:t>
            </w:r>
          </w:p>
        </w:tc>
      </w:tr>
      <w:tr w:rsidR="00DF021B" w:rsidRPr="00DF021B" w:rsidTr="008A6227">
        <w:trPr>
          <w:trHeight w:val="315"/>
        </w:trPr>
        <w:tc>
          <w:tcPr>
            <w:tcW w:w="543" w:type="dxa"/>
            <w:tcBorders>
              <w:right w:val="nil"/>
            </w:tcBorders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36" w:type="dxa"/>
            <w:tcBorders>
              <w:left w:val="nil"/>
              <w:right w:val="nil"/>
            </w:tcBorders>
            <w:noWrap/>
            <w:vAlign w:val="center"/>
            <w:hideMark/>
          </w:tcPr>
          <w:p w:rsidR="00DF021B" w:rsidRPr="00DF021B" w:rsidRDefault="00DF021B" w:rsidP="00DF021B">
            <w:pPr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Kontrolní rozměry:</w:t>
            </w:r>
          </w:p>
        </w:tc>
        <w:tc>
          <w:tcPr>
            <w:tcW w:w="912" w:type="dxa"/>
            <w:tcBorders>
              <w:left w:val="nil"/>
              <w:right w:val="nil"/>
            </w:tcBorders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37" w:type="dxa"/>
            <w:tcBorders>
              <w:left w:val="nil"/>
              <w:right w:val="nil"/>
            </w:tcBorders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7" w:type="dxa"/>
            <w:tcBorders>
              <w:left w:val="nil"/>
              <w:right w:val="nil"/>
            </w:tcBorders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7" w:type="dxa"/>
            <w:tcBorders>
              <w:left w:val="nil"/>
              <w:right w:val="nil"/>
            </w:tcBorders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7" w:type="dxa"/>
            <w:tcBorders>
              <w:left w:val="nil"/>
              <w:right w:val="nil"/>
            </w:tcBorders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7" w:type="dxa"/>
            <w:tcBorders>
              <w:left w:val="nil"/>
              <w:right w:val="nil"/>
            </w:tcBorders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7" w:type="dxa"/>
            <w:tcBorders>
              <w:left w:val="nil"/>
              <w:right w:val="nil"/>
            </w:tcBorders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7" w:type="dxa"/>
            <w:tcBorders>
              <w:left w:val="nil"/>
              <w:right w:val="nil"/>
            </w:tcBorders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7" w:type="dxa"/>
            <w:tcBorders>
              <w:left w:val="nil"/>
              <w:right w:val="nil"/>
            </w:tcBorders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7" w:type="dxa"/>
            <w:tcBorders>
              <w:left w:val="nil"/>
              <w:right w:val="nil"/>
            </w:tcBorders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left w:val="nil"/>
            </w:tcBorders>
            <w:noWrap/>
            <w:vAlign w:val="center"/>
            <w:hideMark/>
          </w:tcPr>
          <w:p w:rsidR="00DF021B" w:rsidRPr="00DF021B" w:rsidRDefault="00DF021B" w:rsidP="00DF021B">
            <w:pPr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 </w:t>
            </w:r>
          </w:p>
        </w:tc>
      </w:tr>
      <w:tr w:rsidR="00DF021B" w:rsidRPr="00DF021B" w:rsidTr="008A6227">
        <w:trPr>
          <w:trHeight w:val="315"/>
        </w:trPr>
        <w:tc>
          <w:tcPr>
            <w:tcW w:w="543" w:type="dxa"/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A</w:t>
            </w:r>
          </w:p>
        </w:tc>
        <w:tc>
          <w:tcPr>
            <w:tcW w:w="3736" w:type="dxa"/>
            <w:tcBorders>
              <w:right w:val="nil"/>
            </w:tcBorders>
            <w:noWrap/>
            <w:vAlign w:val="center"/>
            <w:hideMark/>
          </w:tcPr>
          <w:p w:rsidR="00DF021B" w:rsidRPr="00F259D9" w:rsidRDefault="00F259D9" w:rsidP="00DF021B">
            <w:pPr>
              <w:rPr>
                <w:sz w:val="18"/>
                <w:szCs w:val="18"/>
              </w:rPr>
            </w:pPr>
            <w:r w:rsidRPr="00F259D9">
              <w:rPr>
                <w:sz w:val="18"/>
                <w:szCs w:val="18"/>
              </w:rPr>
              <w:t>Pasová šířka</w:t>
            </w:r>
          </w:p>
        </w:tc>
        <w:tc>
          <w:tcPr>
            <w:tcW w:w="912" w:type="dxa"/>
            <w:tcBorders>
              <w:left w:val="nil"/>
            </w:tcBorders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37" w:type="dxa"/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39</w:t>
            </w:r>
          </w:p>
        </w:tc>
        <w:tc>
          <w:tcPr>
            <w:tcW w:w="737" w:type="dxa"/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41</w:t>
            </w:r>
          </w:p>
        </w:tc>
        <w:tc>
          <w:tcPr>
            <w:tcW w:w="737" w:type="dxa"/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44</w:t>
            </w:r>
          </w:p>
        </w:tc>
        <w:tc>
          <w:tcPr>
            <w:tcW w:w="737" w:type="dxa"/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b/>
                <w:bCs/>
                <w:sz w:val="18"/>
                <w:szCs w:val="18"/>
              </w:rPr>
            </w:pPr>
            <w:r w:rsidRPr="00DF021B">
              <w:rPr>
                <w:b/>
                <w:bCs/>
                <w:sz w:val="18"/>
                <w:szCs w:val="18"/>
              </w:rPr>
              <w:t>47</w:t>
            </w:r>
          </w:p>
        </w:tc>
        <w:tc>
          <w:tcPr>
            <w:tcW w:w="737" w:type="dxa"/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50</w:t>
            </w:r>
          </w:p>
        </w:tc>
        <w:tc>
          <w:tcPr>
            <w:tcW w:w="737" w:type="dxa"/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53</w:t>
            </w:r>
          </w:p>
        </w:tc>
        <w:tc>
          <w:tcPr>
            <w:tcW w:w="737" w:type="dxa"/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56</w:t>
            </w:r>
          </w:p>
        </w:tc>
        <w:tc>
          <w:tcPr>
            <w:tcW w:w="737" w:type="dxa"/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59</w:t>
            </w:r>
          </w:p>
        </w:tc>
        <w:tc>
          <w:tcPr>
            <w:tcW w:w="737" w:type="dxa"/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62</w:t>
            </w:r>
          </w:p>
        </w:tc>
        <w:tc>
          <w:tcPr>
            <w:tcW w:w="558" w:type="dxa"/>
            <w:noWrap/>
            <w:vAlign w:val="center"/>
            <w:hideMark/>
          </w:tcPr>
          <w:p w:rsidR="00DF021B" w:rsidRPr="00DF021B" w:rsidRDefault="00DF021B" w:rsidP="006E5AED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1</w:t>
            </w:r>
          </w:p>
        </w:tc>
      </w:tr>
      <w:tr w:rsidR="00DF021B" w:rsidRPr="00DF021B" w:rsidTr="008A6227">
        <w:trPr>
          <w:trHeight w:val="315"/>
        </w:trPr>
        <w:tc>
          <w:tcPr>
            <w:tcW w:w="543" w:type="dxa"/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B</w:t>
            </w:r>
          </w:p>
        </w:tc>
        <w:tc>
          <w:tcPr>
            <w:tcW w:w="3736" w:type="dxa"/>
            <w:tcBorders>
              <w:right w:val="nil"/>
            </w:tcBorders>
            <w:noWrap/>
            <w:vAlign w:val="center"/>
            <w:hideMark/>
          </w:tcPr>
          <w:p w:rsidR="00DF021B" w:rsidRPr="006E5AED" w:rsidRDefault="00F259D9" w:rsidP="00DF021B">
            <w:pPr>
              <w:rPr>
                <w:sz w:val="18"/>
                <w:szCs w:val="18"/>
              </w:rPr>
            </w:pPr>
            <w:r w:rsidRPr="006E5AED">
              <w:rPr>
                <w:sz w:val="18"/>
                <w:szCs w:val="18"/>
              </w:rPr>
              <w:t>Sedová šířka</w:t>
            </w:r>
          </w:p>
        </w:tc>
        <w:tc>
          <w:tcPr>
            <w:tcW w:w="912" w:type="dxa"/>
            <w:tcBorders>
              <w:left w:val="nil"/>
            </w:tcBorders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49</w:t>
            </w:r>
          </w:p>
        </w:tc>
        <w:tc>
          <w:tcPr>
            <w:tcW w:w="737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51</w:t>
            </w:r>
          </w:p>
        </w:tc>
        <w:tc>
          <w:tcPr>
            <w:tcW w:w="737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53,5</w:t>
            </w:r>
          </w:p>
        </w:tc>
        <w:tc>
          <w:tcPr>
            <w:tcW w:w="737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b/>
                <w:bCs/>
                <w:sz w:val="18"/>
                <w:szCs w:val="18"/>
              </w:rPr>
            </w:pPr>
            <w:r w:rsidRPr="00DF021B">
              <w:rPr>
                <w:b/>
                <w:bCs/>
                <w:sz w:val="18"/>
                <w:szCs w:val="18"/>
              </w:rPr>
              <w:t>56</w:t>
            </w:r>
          </w:p>
        </w:tc>
        <w:tc>
          <w:tcPr>
            <w:tcW w:w="737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58,5</w:t>
            </w:r>
          </w:p>
        </w:tc>
        <w:tc>
          <w:tcPr>
            <w:tcW w:w="737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61</w:t>
            </w:r>
          </w:p>
        </w:tc>
        <w:tc>
          <w:tcPr>
            <w:tcW w:w="737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63,5</w:t>
            </w:r>
          </w:p>
        </w:tc>
        <w:tc>
          <w:tcPr>
            <w:tcW w:w="737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66</w:t>
            </w:r>
          </w:p>
        </w:tc>
        <w:tc>
          <w:tcPr>
            <w:tcW w:w="737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68,5</w:t>
            </w:r>
          </w:p>
        </w:tc>
        <w:tc>
          <w:tcPr>
            <w:tcW w:w="558" w:type="dxa"/>
            <w:noWrap/>
            <w:vAlign w:val="center"/>
            <w:hideMark/>
          </w:tcPr>
          <w:p w:rsidR="00DF021B" w:rsidRPr="00DF021B" w:rsidRDefault="00DF021B" w:rsidP="006E5AED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1</w:t>
            </w:r>
            <w:r w:rsidR="006E5AED">
              <w:rPr>
                <w:sz w:val="18"/>
                <w:szCs w:val="18"/>
              </w:rPr>
              <w:t>,2</w:t>
            </w:r>
          </w:p>
        </w:tc>
      </w:tr>
      <w:tr w:rsidR="00DF021B" w:rsidRPr="00DF021B" w:rsidTr="008A6227">
        <w:trPr>
          <w:trHeight w:val="315"/>
        </w:trPr>
        <w:tc>
          <w:tcPr>
            <w:tcW w:w="543" w:type="dxa"/>
            <w:vMerge w:val="restart"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C</w:t>
            </w:r>
          </w:p>
        </w:tc>
        <w:tc>
          <w:tcPr>
            <w:tcW w:w="3736" w:type="dxa"/>
            <w:vMerge w:val="restart"/>
            <w:vAlign w:val="center"/>
            <w:hideMark/>
          </w:tcPr>
          <w:p w:rsidR="00DF021B" w:rsidRPr="00DF021B" w:rsidRDefault="00DF021B" w:rsidP="00DF021B">
            <w:pPr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Boční délka kalhot</w:t>
            </w:r>
            <w:r w:rsidR="003B4598">
              <w:rPr>
                <w:sz w:val="18"/>
                <w:szCs w:val="18"/>
              </w:rPr>
              <w:t xml:space="preserve"> </w:t>
            </w:r>
            <w:r w:rsidR="003B4598" w:rsidRPr="008F31B3">
              <w:rPr>
                <w:sz w:val="18"/>
                <w:szCs w:val="18"/>
              </w:rPr>
              <w:t>/</w:t>
            </w:r>
            <w:r w:rsidR="003B4598" w:rsidRPr="008F31B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12" w:type="dxa"/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b/>
                <w:bCs/>
                <w:sz w:val="18"/>
                <w:szCs w:val="18"/>
              </w:rPr>
            </w:pPr>
            <w:r w:rsidRPr="00DF021B">
              <w:rPr>
                <w:b/>
                <w:bCs/>
                <w:sz w:val="18"/>
                <w:szCs w:val="18"/>
              </w:rPr>
              <w:t>164</w:t>
            </w:r>
          </w:p>
        </w:tc>
        <w:tc>
          <w:tcPr>
            <w:tcW w:w="737" w:type="dxa"/>
            <w:tcBorders>
              <w:right w:val="nil"/>
            </w:tcBorders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7" w:type="dxa"/>
            <w:tcBorders>
              <w:left w:val="nil"/>
              <w:right w:val="nil"/>
            </w:tcBorders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7" w:type="dxa"/>
            <w:tcBorders>
              <w:left w:val="nil"/>
              <w:right w:val="nil"/>
            </w:tcBorders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7" w:type="dxa"/>
            <w:tcBorders>
              <w:left w:val="nil"/>
              <w:right w:val="nil"/>
            </w:tcBorders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90.5</w:t>
            </w:r>
          </w:p>
        </w:tc>
        <w:tc>
          <w:tcPr>
            <w:tcW w:w="737" w:type="dxa"/>
            <w:tcBorders>
              <w:left w:val="nil"/>
              <w:right w:val="nil"/>
            </w:tcBorders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7" w:type="dxa"/>
            <w:tcBorders>
              <w:left w:val="nil"/>
              <w:right w:val="nil"/>
            </w:tcBorders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7" w:type="dxa"/>
            <w:tcBorders>
              <w:left w:val="nil"/>
              <w:right w:val="nil"/>
            </w:tcBorders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7" w:type="dxa"/>
            <w:tcBorders>
              <w:left w:val="nil"/>
              <w:right w:val="nil"/>
            </w:tcBorders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7" w:type="dxa"/>
            <w:tcBorders>
              <w:left w:val="nil"/>
            </w:tcBorders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58" w:type="dxa"/>
            <w:vMerge w:val="restart"/>
            <w:noWrap/>
            <w:vAlign w:val="center"/>
            <w:hideMark/>
          </w:tcPr>
          <w:p w:rsidR="00DF021B" w:rsidRPr="00DF021B" w:rsidRDefault="00DF021B" w:rsidP="006E5AED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1</w:t>
            </w:r>
            <w:r w:rsidR="006E5AED">
              <w:rPr>
                <w:sz w:val="18"/>
                <w:szCs w:val="18"/>
              </w:rPr>
              <w:t>,5</w:t>
            </w:r>
          </w:p>
        </w:tc>
      </w:tr>
      <w:tr w:rsidR="00DF021B" w:rsidRPr="00DF021B" w:rsidTr="008A6227">
        <w:trPr>
          <w:trHeight w:val="315"/>
        </w:trPr>
        <w:tc>
          <w:tcPr>
            <w:tcW w:w="543" w:type="dxa"/>
            <w:vMerge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36" w:type="dxa"/>
            <w:vMerge/>
            <w:vAlign w:val="center"/>
            <w:hideMark/>
          </w:tcPr>
          <w:p w:rsidR="00DF021B" w:rsidRPr="00DF021B" w:rsidRDefault="00DF021B" w:rsidP="00DF021B">
            <w:pPr>
              <w:rPr>
                <w:sz w:val="18"/>
                <w:szCs w:val="18"/>
              </w:rPr>
            </w:pPr>
          </w:p>
        </w:tc>
        <w:tc>
          <w:tcPr>
            <w:tcW w:w="912" w:type="dxa"/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b/>
                <w:bCs/>
                <w:sz w:val="18"/>
                <w:szCs w:val="18"/>
              </w:rPr>
            </w:pPr>
            <w:r w:rsidRPr="00DF021B">
              <w:rPr>
                <w:b/>
                <w:bCs/>
                <w:sz w:val="18"/>
                <w:szCs w:val="18"/>
              </w:rPr>
              <w:t>170</w:t>
            </w:r>
          </w:p>
        </w:tc>
        <w:tc>
          <w:tcPr>
            <w:tcW w:w="737" w:type="dxa"/>
            <w:tcBorders>
              <w:right w:val="nil"/>
            </w:tcBorders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7" w:type="dxa"/>
            <w:tcBorders>
              <w:left w:val="nil"/>
              <w:right w:val="nil"/>
            </w:tcBorders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7" w:type="dxa"/>
            <w:tcBorders>
              <w:left w:val="nil"/>
              <w:right w:val="nil"/>
            </w:tcBorders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7" w:type="dxa"/>
            <w:tcBorders>
              <w:left w:val="nil"/>
              <w:right w:val="nil"/>
            </w:tcBorders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95</w:t>
            </w:r>
          </w:p>
        </w:tc>
        <w:tc>
          <w:tcPr>
            <w:tcW w:w="737" w:type="dxa"/>
            <w:tcBorders>
              <w:left w:val="nil"/>
              <w:right w:val="nil"/>
            </w:tcBorders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7" w:type="dxa"/>
            <w:tcBorders>
              <w:left w:val="nil"/>
              <w:right w:val="nil"/>
            </w:tcBorders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37" w:type="dxa"/>
            <w:tcBorders>
              <w:left w:val="nil"/>
              <w:right w:val="nil"/>
            </w:tcBorders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7" w:type="dxa"/>
            <w:tcBorders>
              <w:left w:val="nil"/>
              <w:right w:val="nil"/>
            </w:tcBorders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7" w:type="dxa"/>
            <w:tcBorders>
              <w:left w:val="nil"/>
            </w:tcBorders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58" w:type="dxa"/>
            <w:vMerge/>
            <w:vAlign w:val="center"/>
            <w:hideMark/>
          </w:tcPr>
          <w:p w:rsidR="00DF021B" w:rsidRPr="00DF021B" w:rsidRDefault="00DF021B" w:rsidP="006E5AED">
            <w:pPr>
              <w:jc w:val="center"/>
              <w:rPr>
                <w:sz w:val="18"/>
                <w:szCs w:val="18"/>
              </w:rPr>
            </w:pPr>
          </w:p>
        </w:tc>
      </w:tr>
      <w:tr w:rsidR="00DF021B" w:rsidRPr="00DF021B" w:rsidTr="008A6227">
        <w:trPr>
          <w:trHeight w:val="315"/>
        </w:trPr>
        <w:tc>
          <w:tcPr>
            <w:tcW w:w="543" w:type="dxa"/>
            <w:vMerge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36" w:type="dxa"/>
            <w:vMerge/>
            <w:vAlign w:val="center"/>
            <w:hideMark/>
          </w:tcPr>
          <w:p w:rsidR="00DF021B" w:rsidRPr="00DF021B" w:rsidRDefault="00DF021B" w:rsidP="00DF021B">
            <w:pPr>
              <w:rPr>
                <w:sz w:val="18"/>
                <w:szCs w:val="18"/>
              </w:rPr>
            </w:pPr>
          </w:p>
        </w:tc>
        <w:tc>
          <w:tcPr>
            <w:tcW w:w="912" w:type="dxa"/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b/>
                <w:bCs/>
                <w:sz w:val="18"/>
                <w:szCs w:val="18"/>
              </w:rPr>
            </w:pPr>
            <w:r w:rsidRPr="00DF021B">
              <w:rPr>
                <w:b/>
                <w:bCs/>
                <w:sz w:val="18"/>
                <w:szCs w:val="18"/>
              </w:rPr>
              <w:t>176</w:t>
            </w:r>
          </w:p>
        </w:tc>
        <w:tc>
          <w:tcPr>
            <w:tcW w:w="737" w:type="dxa"/>
            <w:tcBorders>
              <w:right w:val="nil"/>
            </w:tcBorders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7" w:type="dxa"/>
            <w:tcBorders>
              <w:left w:val="nil"/>
              <w:right w:val="nil"/>
            </w:tcBorders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7" w:type="dxa"/>
            <w:tcBorders>
              <w:left w:val="nil"/>
              <w:right w:val="nil"/>
            </w:tcBorders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7" w:type="dxa"/>
            <w:tcBorders>
              <w:left w:val="nil"/>
              <w:right w:val="nil"/>
            </w:tcBorders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99.5</w:t>
            </w:r>
          </w:p>
        </w:tc>
        <w:tc>
          <w:tcPr>
            <w:tcW w:w="737" w:type="dxa"/>
            <w:tcBorders>
              <w:left w:val="nil"/>
              <w:right w:val="nil"/>
            </w:tcBorders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7" w:type="dxa"/>
            <w:tcBorders>
              <w:left w:val="nil"/>
              <w:right w:val="nil"/>
            </w:tcBorders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7" w:type="dxa"/>
            <w:tcBorders>
              <w:left w:val="nil"/>
              <w:right w:val="nil"/>
            </w:tcBorders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7" w:type="dxa"/>
            <w:tcBorders>
              <w:left w:val="nil"/>
              <w:right w:val="nil"/>
            </w:tcBorders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7" w:type="dxa"/>
            <w:tcBorders>
              <w:left w:val="nil"/>
            </w:tcBorders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58" w:type="dxa"/>
            <w:vMerge/>
            <w:vAlign w:val="center"/>
            <w:hideMark/>
          </w:tcPr>
          <w:p w:rsidR="00DF021B" w:rsidRPr="00DF021B" w:rsidRDefault="00DF021B" w:rsidP="006E5AED">
            <w:pPr>
              <w:jc w:val="center"/>
              <w:rPr>
                <w:sz w:val="18"/>
                <w:szCs w:val="18"/>
              </w:rPr>
            </w:pPr>
          </w:p>
        </w:tc>
      </w:tr>
      <w:tr w:rsidR="00DF021B" w:rsidRPr="00DF021B" w:rsidTr="008A6227">
        <w:trPr>
          <w:trHeight w:val="315"/>
        </w:trPr>
        <w:tc>
          <w:tcPr>
            <w:tcW w:w="543" w:type="dxa"/>
            <w:vMerge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36" w:type="dxa"/>
            <w:vMerge/>
            <w:vAlign w:val="center"/>
            <w:hideMark/>
          </w:tcPr>
          <w:p w:rsidR="00DF021B" w:rsidRPr="00DF021B" w:rsidRDefault="00DF021B" w:rsidP="00DF021B">
            <w:pPr>
              <w:rPr>
                <w:sz w:val="18"/>
                <w:szCs w:val="18"/>
              </w:rPr>
            </w:pPr>
          </w:p>
        </w:tc>
        <w:tc>
          <w:tcPr>
            <w:tcW w:w="912" w:type="dxa"/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b/>
                <w:bCs/>
                <w:sz w:val="18"/>
                <w:szCs w:val="18"/>
              </w:rPr>
            </w:pPr>
            <w:r w:rsidRPr="00DF021B">
              <w:rPr>
                <w:b/>
                <w:bCs/>
                <w:sz w:val="18"/>
                <w:szCs w:val="18"/>
              </w:rPr>
              <w:t>182</w:t>
            </w:r>
          </w:p>
        </w:tc>
        <w:tc>
          <w:tcPr>
            <w:tcW w:w="737" w:type="dxa"/>
            <w:tcBorders>
              <w:right w:val="nil"/>
            </w:tcBorders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7" w:type="dxa"/>
            <w:tcBorders>
              <w:left w:val="nil"/>
              <w:right w:val="nil"/>
            </w:tcBorders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7" w:type="dxa"/>
            <w:tcBorders>
              <w:left w:val="nil"/>
              <w:right w:val="nil"/>
            </w:tcBorders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7" w:type="dxa"/>
            <w:tcBorders>
              <w:left w:val="nil"/>
              <w:right w:val="nil"/>
            </w:tcBorders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b/>
                <w:bCs/>
                <w:sz w:val="18"/>
                <w:szCs w:val="18"/>
              </w:rPr>
            </w:pPr>
            <w:r w:rsidRPr="00DF021B">
              <w:rPr>
                <w:b/>
                <w:bCs/>
                <w:sz w:val="18"/>
                <w:szCs w:val="18"/>
              </w:rPr>
              <w:t>104</w:t>
            </w:r>
          </w:p>
        </w:tc>
        <w:tc>
          <w:tcPr>
            <w:tcW w:w="737" w:type="dxa"/>
            <w:tcBorders>
              <w:left w:val="nil"/>
              <w:right w:val="nil"/>
            </w:tcBorders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7" w:type="dxa"/>
            <w:tcBorders>
              <w:left w:val="nil"/>
              <w:right w:val="nil"/>
            </w:tcBorders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7" w:type="dxa"/>
            <w:tcBorders>
              <w:left w:val="nil"/>
              <w:right w:val="nil"/>
            </w:tcBorders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7" w:type="dxa"/>
            <w:tcBorders>
              <w:left w:val="nil"/>
              <w:right w:val="nil"/>
            </w:tcBorders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7" w:type="dxa"/>
            <w:tcBorders>
              <w:left w:val="nil"/>
            </w:tcBorders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58" w:type="dxa"/>
            <w:vMerge/>
            <w:vAlign w:val="center"/>
            <w:hideMark/>
          </w:tcPr>
          <w:p w:rsidR="00DF021B" w:rsidRPr="00DF021B" w:rsidRDefault="00DF021B" w:rsidP="006E5AED">
            <w:pPr>
              <w:jc w:val="center"/>
              <w:rPr>
                <w:sz w:val="18"/>
                <w:szCs w:val="18"/>
              </w:rPr>
            </w:pPr>
          </w:p>
        </w:tc>
      </w:tr>
      <w:tr w:rsidR="00DF021B" w:rsidRPr="00DF021B" w:rsidTr="008A6227">
        <w:trPr>
          <w:trHeight w:val="315"/>
        </w:trPr>
        <w:tc>
          <w:tcPr>
            <w:tcW w:w="543" w:type="dxa"/>
            <w:vMerge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36" w:type="dxa"/>
            <w:vMerge/>
            <w:vAlign w:val="center"/>
            <w:hideMark/>
          </w:tcPr>
          <w:p w:rsidR="00DF021B" w:rsidRPr="00DF021B" w:rsidRDefault="00DF021B" w:rsidP="00DF021B">
            <w:pPr>
              <w:rPr>
                <w:sz w:val="18"/>
                <w:szCs w:val="18"/>
              </w:rPr>
            </w:pPr>
          </w:p>
        </w:tc>
        <w:tc>
          <w:tcPr>
            <w:tcW w:w="912" w:type="dxa"/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b/>
                <w:bCs/>
                <w:sz w:val="18"/>
                <w:szCs w:val="18"/>
              </w:rPr>
            </w:pPr>
            <w:r w:rsidRPr="00DF021B">
              <w:rPr>
                <w:b/>
                <w:bCs/>
                <w:sz w:val="18"/>
                <w:szCs w:val="18"/>
              </w:rPr>
              <w:t>188</w:t>
            </w:r>
          </w:p>
        </w:tc>
        <w:tc>
          <w:tcPr>
            <w:tcW w:w="737" w:type="dxa"/>
            <w:tcBorders>
              <w:right w:val="nil"/>
            </w:tcBorders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7" w:type="dxa"/>
            <w:tcBorders>
              <w:left w:val="nil"/>
              <w:right w:val="nil"/>
            </w:tcBorders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7" w:type="dxa"/>
            <w:tcBorders>
              <w:left w:val="nil"/>
              <w:right w:val="nil"/>
            </w:tcBorders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7" w:type="dxa"/>
            <w:tcBorders>
              <w:left w:val="nil"/>
              <w:right w:val="nil"/>
            </w:tcBorders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108.5</w:t>
            </w:r>
          </w:p>
        </w:tc>
        <w:tc>
          <w:tcPr>
            <w:tcW w:w="737" w:type="dxa"/>
            <w:tcBorders>
              <w:left w:val="nil"/>
              <w:right w:val="nil"/>
            </w:tcBorders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7" w:type="dxa"/>
            <w:tcBorders>
              <w:left w:val="nil"/>
              <w:right w:val="nil"/>
            </w:tcBorders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7" w:type="dxa"/>
            <w:tcBorders>
              <w:left w:val="nil"/>
              <w:right w:val="nil"/>
            </w:tcBorders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7" w:type="dxa"/>
            <w:tcBorders>
              <w:left w:val="nil"/>
              <w:right w:val="nil"/>
            </w:tcBorders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7" w:type="dxa"/>
            <w:tcBorders>
              <w:left w:val="nil"/>
            </w:tcBorders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58" w:type="dxa"/>
            <w:vMerge/>
            <w:vAlign w:val="center"/>
            <w:hideMark/>
          </w:tcPr>
          <w:p w:rsidR="00DF021B" w:rsidRPr="00DF021B" w:rsidRDefault="00DF021B" w:rsidP="006E5AED">
            <w:pPr>
              <w:jc w:val="center"/>
              <w:rPr>
                <w:sz w:val="18"/>
                <w:szCs w:val="18"/>
              </w:rPr>
            </w:pPr>
          </w:p>
        </w:tc>
      </w:tr>
      <w:tr w:rsidR="00DF021B" w:rsidRPr="00DF021B" w:rsidTr="00DF021B">
        <w:trPr>
          <w:trHeight w:val="315"/>
        </w:trPr>
        <w:tc>
          <w:tcPr>
            <w:tcW w:w="543" w:type="dxa"/>
            <w:vMerge w:val="restart"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D</w:t>
            </w:r>
          </w:p>
        </w:tc>
        <w:tc>
          <w:tcPr>
            <w:tcW w:w="3736" w:type="dxa"/>
            <w:vMerge w:val="restart"/>
            <w:vAlign w:val="center"/>
            <w:hideMark/>
          </w:tcPr>
          <w:p w:rsidR="00DF021B" w:rsidRPr="00DF021B" w:rsidRDefault="00DF021B" w:rsidP="00DF021B">
            <w:pPr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Kroková délka kalhot</w:t>
            </w:r>
          </w:p>
        </w:tc>
        <w:tc>
          <w:tcPr>
            <w:tcW w:w="912" w:type="dxa"/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b/>
                <w:bCs/>
                <w:sz w:val="18"/>
                <w:szCs w:val="18"/>
              </w:rPr>
            </w:pPr>
            <w:r w:rsidRPr="00DF021B">
              <w:rPr>
                <w:b/>
                <w:bCs/>
                <w:sz w:val="18"/>
                <w:szCs w:val="18"/>
              </w:rPr>
              <w:t>164</w:t>
            </w:r>
          </w:p>
        </w:tc>
        <w:tc>
          <w:tcPr>
            <w:tcW w:w="737" w:type="dxa"/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71</w:t>
            </w:r>
          </w:p>
        </w:tc>
        <w:tc>
          <w:tcPr>
            <w:tcW w:w="737" w:type="dxa"/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70,5</w:t>
            </w:r>
          </w:p>
        </w:tc>
        <w:tc>
          <w:tcPr>
            <w:tcW w:w="737" w:type="dxa"/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70</w:t>
            </w:r>
          </w:p>
        </w:tc>
        <w:tc>
          <w:tcPr>
            <w:tcW w:w="737" w:type="dxa"/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69,5</w:t>
            </w:r>
          </w:p>
        </w:tc>
        <w:tc>
          <w:tcPr>
            <w:tcW w:w="737" w:type="dxa"/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69</w:t>
            </w:r>
          </w:p>
        </w:tc>
        <w:tc>
          <w:tcPr>
            <w:tcW w:w="737" w:type="dxa"/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68,5</w:t>
            </w:r>
          </w:p>
        </w:tc>
        <w:tc>
          <w:tcPr>
            <w:tcW w:w="737" w:type="dxa"/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68</w:t>
            </w:r>
          </w:p>
        </w:tc>
        <w:tc>
          <w:tcPr>
            <w:tcW w:w="737" w:type="dxa"/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67,5</w:t>
            </w:r>
          </w:p>
        </w:tc>
        <w:tc>
          <w:tcPr>
            <w:tcW w:w="737" w:type="dxa"/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67</w:t>
            </w:r>
          </w:p>
        </w:tc>
        <w:tc>
          <w:tcPr>
            <w:tcW w:w="558" w:type="dxa"/>
            <w:vMerge w:val="restart"/>
            <w:noWrap/>
            <w:vAlign w:val="center"/>
            <w:hideMark/>
          </w:tcPr>
          <w:p w:rsidR="00DF021B" w:rsidRPr="00DF021B" w:rsidRDefault="00DF021B" w:rsidP="006E5AED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1</w:t>
            </w:r>
            <w:r w:rsidR="006E5AED">
              <w:rPr>
                <w:sz w:val="18"/>
                <w:szCs w:val="18"/>
              </w:rPr>
              <w:t>,2</w:t>
            </w:r>
          </w:p>
        </w:tc>
      </w:tr>
      <w:tr w:rsidR="00DF021B" w:rsidRPr="00DF021B" w:rsidTr="00DF021B">
        <w:trPr>
          <w:trHeight w:val="315"/>
        </w:trPr>
        <w:tc>
          <w:tcPr>
            <w:tcW w:w="543" w:type="dxa"/>
            <w:vMerge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36" w:type="dxa"/>
            <w:vMerge/>
            <w:vAlign w:val="center"/>
            <w:hideMark/>
          </w:tcPr>
          <w:p w:rsidR="00DF021B" w:rsidRPr="00DF021B" w:rsidRDefault="00DF021B" w:rsidP="00DF021B">
            <w:pPr>
              <w:rPr>
                <w:sz w:val="18"/>
                <w:szCs w:val="18"/>
              </w:rPr>
            </w:pPr>
          </w:p>
        </w:tc>
        <w:tc>
          <w:tcPr>
            <w:tcW w:w="912" w:type="dxa"/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b/>
                <w:bCs/>
                <w:sz w:val="18"/>
                <w:szCs w:val="18"/>
              </w:rPr>
            </w:pPr>
            <w:r w:rsidRPr="00DF021B">
              <w:rPr>
                <w:b/>
                <w:bCs/>
                <w:sz w:val="18"/>
                <w:szCs w:val="18"/>
              </w:rPr>
              <w:t>170</w:t>
            </w:r>
          </w:p>
        </w:tc>
        <w:tc>
          <w:tcPr>
            <w:tcW w:w="737" w:type="dxa"/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74,5</w:t>
            </w:r>
          </w:p>
        </w:tc>
        <w:tc>
          <w:tcPr>
            <w:tcW w:w="737" w:type="dxa"/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74</w:t>
            </w:r>
          </w:p>
        </w:tc>
        <w:tc>
          <w:tcPr>
            <w:tcW w:w="737" w:type="dxa"/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73,5</w:t>
            </w:r>
          </w:p>
        </w:tc>
        <w:tc>
          <w:tcPr>
            <w:tcW w:w="737" w:type="dxa"/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73</w:t>
            </w:r>
          </w:p>
        </w:tc>
        <w:tc>
          <w:tcPr>
            <w:tcW w:w="737" w:type="dxa"/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72,5</w:t>
            </w:r>
          </w:p>
        </w:tc>
        <w:tc>
          <w:tcPr>
            <w:tcW w:w="737" w:type="dxa"/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72</w:t>
            </w:r>
          </w:p>
        </w:tc>
        <w:tc>
          <w:tcPr>
            <w:tcW w:w="737" w:type="dxa"/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71,5</w:t>
            </w:r>
          </w:p>
        </w:tc>
        <w:tc>
          <w:tcPr>
            <w:tcW w:w="737" w:type="dxa"/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71</w:t>
            </w:r>
          </w:p>
        </w:tc>
        <w:tc>
          <w:tcPr>
            <w:tcW w:w="737" w:type="dxa"/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70,5</w:t>
            </w:r>
          </w:p>
        </w:tc>
        <w:tc>
          <w:tcPr>
            <w:tcW w:w="558" w:type="dxa"/>
            <w:vMerge/>
            <w:vAlign w:val="center"/>
            <w:hideMark/>
          </w:tcPr>
          <w:p w:rsidR="00DF021B" w:rsidRPr="00DF021B" w:rsidRDefault="00DF021B" w:rsidP="006E5AED">
            <w:pPr>
              <w:jc w:val="center"/>
              <w:rPr>
                <w:sz w:val="18"/>
                <w:szCs w:val="18"/>
              </w:rPr>
            </w:pPr>
          </w:p>
        </w:tc>
      </w:tr>
      <w:tr w:rsidR="00DF021B" w:rsidRPr="00DF021B" w:rsidTr="00DF021B">
        <w:trPr>
          <w:trHeight w:val="315"/>
        </w:trPr>
        <w:tc>
          <w:tcPr>
            <w:tcW w:w="543" w:type="dxa"/>
            <w:vMerge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36" w:type="dxa"/>
            <w:vMerge/>
            <w:vAlign w:val="center"/>
            <w:hideMark/>
          </w:tcPr>
          <w:p w:rsidR="00DF021B" w:rsidRPr="00DF021B" w:rsidRDefault="00DF021B" w:rsidP="00DF021B">
            <w:pPr>
              <w:rPr>
                <w:sz w:val="18"/>
                <w:szCs w:val="18"/>
              </w:rPr>
            </w:pPr>
          </w:p>
        </w:tc>
        <w:tc>
          <w:tcPr>
            <w:tcW w:w="912" w:type="dxa"/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b/>
                <w:bCs/>
                <w:sz w:val="18"/>
                <w:szCs w:val="18"/>
              </w:rPr>
            </w:pPr>
            <w:r w:rsidRPr="00DF021B">
              <w:rPr>
                <w:b/>
                <w:bCs/>
                <w:sz w:val="18"/>
                <w:szCs w:val="18"/>
              </w:rPr>
              <w:t>176</w:t>
            </w:r>
          </w:p>
        </w:tc>
        <w:tc>
          <w:tcPr>
            <w:tcW w:w="737" w:type="dxa"/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78</w:t>
            </w:r>
          </w:p>
        </w:tc>
        <w:tc>
          <w:tcPr>
            <w:tcW w:w="737" w:type="dxa"/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77,5</w:t>
            </w:r>
          </w:p>
        </w:tc>
        <w:tc>
          <w:tcPr>
            <w:tcW w:w="737" w:type="dxa"/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77</w:t>
            </w:r>
          </w:p>
        </w:tc>
        <w:tc>
          <w:tcPr>
            <w:tcW w:w="737" w:type="dxa"/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76,5</w:t>
            </w:r>
          </w:p>
        </w:tc>
        <w:tc>
          <w:tcPr>
            <w:tcW w:w="737" w:type="dxa"/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76</w:t>
            </w:r>
          </w:p>
        </w:tc>
        <w:tc>
          <w:tcPr>
            <w:tcW w:w="737" w:type="dxa"/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75,5</w:t>
            </w:r>
          </w:p>
        </w:tc>
        <w:tc>
          <w:tcPr>
            <w:tcW w:w="737" w:type="dxa"/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75</w:t>
            </w:r>
          </w:p>
        </w:tc>
        <w:tc>
          <w:tcPr>
            <w:tcW w:w="737" w:type="dxa"/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74,5</w:t>
            </w:r>
          </w:p>
        </w:tc>
        <w:tc>
          <w:tcPr>
            <w:tcW w:w="737" w:type="dxa"/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74</w:t>
            </w:r>
          </w:p>
        </w:tc>
        <w:tc>
          <w:tcPr>
            <w:tcW w:w="558" w:type="dxa"/>
            <w:vMerge/>
            <w:vAlign w:val="center"/>
            <w:hideMark/>
          </w:tcPr>
          <w:p w:rsidR="00DF021B" w:rsidRPr="00DF021B" w:rsidRDefault="00DF021B" w:rsidP="006E5AED">
            <w:pPr>
              <w:jc w:val="center"/>
              <w:rPr>
                <w:sz w:val="18"/>
                <w:szCs w:val="18"/>
              </w:rPr>
            </w:pPr>
          </w:p>
        </w:tc>
      </w:tr>
      <w:tr w:rsidR="00DF021B" w:rsidRPr="00DF021B" w:rsidTr="00DF021B">
        <w:trPr>
          <w:trHeight w:val="315"/>
        </w:trPr>
        <w:tc>
          <w:tcPr>
            <w:tcW w:w="543" w:type="dxa"/>
            <w:vMerge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36" w:type="dxa"/>
            <w:vMerge/>
            <w:vAlign w:val="center"/>
            <w:hideMark/>
          </w:tcPr>
          <w:p w:rsidR="00DF021B" w:rsidRPr="00DF021B" w:rsidRDefault="00DF021B" w:rsidP="00DF021B">
            <w:pPr>
              <w:rPr>
                <w:sz w:val="18"/>
                <w:szCs w:val="18"/>
              </w:rPr>
            </w:pPr>
          </w:p>
        </w:tc>
        <w:tc>
          <w:tcPr>
            <w:tcW w:w="912" w:type="dxa"/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b/>
                <w:bCs/>
                <w:sz w:val="18"/>
                <w:szCs w:val="18"/>
              </w:rPr>
            </w:pPr>
            <w:r w:rsidRPr="00DF021B">
              <w:rPr>
                <w:b/>
                <w:bCs/>
                <w:sz w:val="18"/>
                <w:szCs w:val="18"/>
              </w:rPr>
              <w:t>182</w:t>
            </w:r>
          </w:p>
        </w:tc>
        <w:tc>
          <w:tcPr>
            <w:tcW w:w="737" w:type="dxa"/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81,5</w:t>
            </w:r>
          </w:p>
        </w:tc>
        <w:tc>
          <w:tcPr>
            <w:tcW w:w="737" w:type="dxa"/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81</w:t>
            </w:r>
          </w:p>
        </w:tc>
        <w:tc>
          <w:tcPr>
            <w:tcW w:w="737" w:type="dxa"/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80,5</w:t>
            </w:r>
          </w:p>
        </w:tc>
        <w:tc>
          <w:tcPr>
            <w:tcW w:w="737" w:type="dxa"/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b/>
                <w:bCs/>
                <w:sz w:val="18"/>
                <w:szCs w:val="18"/>
              </w:rPr>
            </w:pPr>
            <w:r w:rsidRPr="00DF021B">
              <w:rPr>
                <w:b/>
                <w:bCs/>
                <w:sz w:val="18"/>
                <w:szCs w:val="18"/>
              </w:rPr>
              <w:t>80</w:t>
            </w:r>
          </w:p>
        </w:tc>
        <w:tc>
          <w:tcPr>
            <w:tcW w:w="737" w:type="dxa"/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79,5</w:t>
            </w:r>
          </w:p>
        </w:tc>
        <w:tc>
          <w:tcPr>
            <w:tcW w:w="737" w:type="dxa"/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79</w:t>
            </w:r>
          </w:p>
        </w:tc>
        <w:tc>
          <w:tcPr>
            <w:tcW w:w="737" w:type="dxa"/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78,5</w:t>
            </w:r>
          </w:p>
        </w:tc>
        <w:tc>
          <w:tcPr>
            <w:tcW w:w="737" w:type="dxa"/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78</w:t>
            </w:r>
          </w:p>
        </w:tc>
        <w:tc>
          <w:tcPr>
            <w:tcW w:w="737" w:type="dxa"/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77,5</w:t>
            </w:r>
          </w:p>
        </w:tc>
        <w:tc>
          <w:tcPr>
            <w:tcW w:w="558" w:type="dxa"/>
            <w:vMerge/>
            <w:vAlign w:val="center"/>
            <w:hideMark/>
          </w:tcPr>
          <w:p w:rsidR="00DF021B" w:rsidRPr="00DF021B" w:rsidRDefault="00DF021B" w:rsidP="006E5AED">
            <w:pPr>
              <w:jc w:val="center"/>
              <w:rPr>
                <w:sz w:val="18"/>
                <w:szCs w:val="18"/>
              </w:rPr>
            </w:pPr>
          </w:p>
        </w:tc>
      </w:tr>
      <w:tr w:rsidR="00DF021B" w:rsidRPr="00DF021B" w:rsidTr="00DF021B">
        <w:trPr>
          <w:trHeight w:val="315"/>
        </w:trPr>
        <w:tc>
          <w:tcPr>
            <w:tcW w:w="543" w:type="dxa"/>
            <w:vMerge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36" w:type="dxa"/>
            <w:vMerge/>
            <w:vAlign w:val="center"/>
            <w:hideMark/>
          </w:tcPr>
          <w:p w:rsidR="00DF021B" w:rsidRPr="00DF021B" w:rsidRDefault="00DF021B" w:rsidP="00DF021B">
            <w:pPr>
              <w:rPr>
                <w:sz w:val="18"/>
                <w:szCs w:val="18"/>
              </w:rPr>
            </w:pPr>
          </w:p>
        </w:tc>
        <w:tc>
          <w:tcPr>
            <w:tcW w:w="912" w:type="dxa"/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b/>
                <w:bCs/>
                <w:sz w:val="18"/>
                <w:szCs w:val="18"/>
              </w:rPr>
            </w:pPr>
            <w:r w:rsidRPr="00DF021B">
              <w:rPr>
                <w:b/>
                <w:bCs/>
                <w:sz w:val="18"/>
                <w:szCs w:val="18"/>
              </w:rPr>
              <w:t>188</w:t>
            </w:r>
          </w:p>
        </w:tc>
        <w:tc>
          <w:tcPr>
            <w:tcW w:w="737" w:type="dxa"/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85</w:t>
            </w:r>
          </w:p>
        </w:tc>
        <w:tc>
          <w:tcPr>
            <w:tcW w:w="737" w:type="dxa"/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84,5</w:t>
            </w:r>
          </w:p>
        </w:tc>
        <w:tc>
          <w:tcPr>
            <w:tcW w:w="737" w:type="dxa"/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84</w:t>
            </w:r>
          </w:p>
        </w:tc>
        <w:tc>
          <w:tcPr>
            <w:tcW w:w="737" w:type="dxa"/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83,5</w:t>
            </w:r>
          </w:p>
        </w:tc>
        <w:tc>
          <w:tcPr>
            <w:tcW w:w="737" w:type="dxa"/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83</w:t>
            </w:r>
          </w:p>
        </w:tc>
        <w:tc>
          <w:tcPr>
            <w:tcW w:w="737" w:type="dxa"/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82,5</w:t>
            </w:r>
          </w:p>
        </w:tc>
        <w:tc>
          <w:tcPr>
            <w:tcW w:w="737" w:type="dxa"/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82</w:t>
            </w:r>
          </w:p>
        </w:tc>
        <w:tc>
          <w:tcPr>
            <w:tcW w:w="737" w:type="dxa"/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81,5</w:t>
            </w:r>
          </w:p>
        </w:tc>
        <w:tc>
          <w:tcPr>
            <w:tcW w:w="737" w:type="dxa"/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81</w:t>
            </w:r>
          </w:p>
        </w:tc>
        <w:tc>
          <w:tcPr>
            <w:tcW w:w="558" w:type="dxa"/>
            <w:vMerge/>
            <w:vAlign w:val="center"/>
            <w:hideMark/>
          </w:tcPr>
          <w:p w:rsidR="00DF021B" w:rsidRPr="00DF021B" w:rsidRDefault="00DF021B" w:rsidP="006E5AED">
            <w:pPr>
              <w:jc w:val="center"/>
              <w:rPr>
                <w:sz w:val="18"/>
                <w:szCs w:val="18"/>
              </w:rPr>
            </w:pPr>
          </w:p>
        </w:tc>
      </w:tr>
      <w:tr w:rsidR="00DF021B" w:rsidRPr="00DF021B" w:rsidTr="00DF021B">
        <w:trPr>
          <w:trHeight w:val="315"/>
        </w:trPr>
        <w:tc>
          <w:tcPr>
            <w:tcW w:w="543" w:type="dxa"/>
            <w:vMerge w:val="restart"/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E</w:t>
            </w:r>
          </w:p>
        </w:tc>
        <w:tc>
          <w:tcPr>
            <w:tcW w:w="3736" w:type="dxa"/>
            <w:vMerge w:val="restart"/>
            <w:noWrap/>
            <w:vAlign w:val="center"/>
            <w:hideMark/>
          </w:tcPr>
          <w:p w:rsidR="00DF021B" w:rsidRPr="00DF021B" w:rsidRDefault="006E5AED" w:rsidP="00DF02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Dolní šířka</w:t>
            </w:r>
            <w:r w:rsidR="00DF021B" w:rsidRPr="00DF021B">
              <w:rPr>
                <w:sz w:val="18"/>
                <w:szCs w:val="18"/>
              </w:rPr>
              <w:t xml:space="preserve"> kalhot</w:t>
            </w:r>
          </w:p>
        </w:tc>
        <w:tc>
          <w:tcPr>
            <w:tcW w:w="912" w:type="dxa"/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b/>
                <w:bCs/>
                <w:sz w:val="18"/>
                <w:szCs w:val="18"/>
              </w:rPr>
            </w:pPr>
            <w:r w:rsidRPr="00DF021B">
              <w:rPr>
                <w:b/>
                <w:bCs/>
                <w:sz w:val="18"/>
                <w:szCs w:val="18"/>
              </w:rPr>
              <w:t>164</w:t>
            </w:r>
          </w:p>
        </w:tc>
        <w:tc>
          <w:tcPr>
            <w:tcW w:w="737" w:type="dxa"/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16,5</w:t>
            </w:r>
          </w:p>
        </w:tc>
        <w:tc>
          <w:tcPr>
            <w:tcW w:w="737" w:type="dxa"/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17,5</w:t>
            </w:r>
          </w:p>
        </w:tc>
        <w:tc>
          <w:tcPr>
            <w:tcW w:w="737" w:type="dxa"/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17,5</w:t>
            </w:r>
          </w:p>
        </w:tc>
        <w:tc>
          <w:tcPr>
            <w:tcW w:w="737" w:type="dxa"/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18</w:t>
            </w:r>
          </w:p>
        </w:tc>
        <w:tc>
          <w:tcPr>
            <w:tcW w:w="737" w:type="dxa"/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18</w:t>
            </w:r>
          </w:p>
        </w:tc>
        <w:tc>
          <w:tcPr>
            <w:tcW w:w="737" w:type="dxa"/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18,5</w:t>
            </w:r>
          </w:p>
        </w:tc>
        <w:tc>
          <w:tcPr>
            <w:tcW w:w="737" w:type="dxa"/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18,5</w:t>
            </w:r>
          </w:p>
        </w:tc>
        <w:tc>
          <w:tcPr>
            <w:tcW w:w="737" w:type="dxa"/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19</w:t>
            </w:r>
          </w:p>
        </w:tc>
        <w:tc>
          <w:tcPr>
            <w:tcW w:w="737" w:type="dxa"/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19</w:t>
            </w:r>
          </w:p>
        </w:tc>
        <w:tc>
          <w:tcPr>
            <w:tcW w:w="558" w:type="dxa"/>
            <w:vMerge w:val="restart"/>
            <w:noWrap/>
            <w:vAlign w:val="center"/>
            <w:hideMark/>
          </w:tcPr>
          <w:p w:rsidR="00DF021B" w:rsidRPr="00DF021B" w:rsidRDefault="00DF021B" w:rsidP="006E5AED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0,4</w:t>
            </w:r>
          </w:p>
        </w:tc>
      </w:tr>
      <w:tr w:rsidR="00DF021B" w:rsidRPr="00DF021B" w:rsidTr="00DF021B">
        <w:trPr>
          <w:trHeight w:val="315"/>
        </w:trPr>
        <w:tc>
          <w:tcPr>
            <w:tcW w:w="543" w:type="dxa"/>
            <w:vMerge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36" w:type="dxa"/>
            <w:vMerge/>
            <w:vAlign w:val="center"/>
            <w:hideMark/>
          </w:tcPr>
          <w:p w:rsidR="00DF021B" w:rsidRPr="00DF021B" w:rsidRDefault="00DF021B" w:rsidP="00DF021B">
            <w:pPr>
              <w:rPr>
                <w:sz w:val="18"/>
                <w:szCs w:val="18"/>
              </w:rPr>
            </w:pPr>
          </w:p>
        </w:tc>
        <w:tc>
          <w:tcPr>
            <w:tcW w:w="912" w:type="dxa"/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b/>
                <w:bCs/>
                <w:sz w:val="18"/>
                <w:szCs w:val="18"/>
              </w:rPr>
            </w:pPr>
            <w:r w:rsidRPr="00DF021B">
              <w:rPr>
                <w:b/>
                <w:bCs/>
                <w:sz w:val="18"/>
                <w:szCs w:val="18"/>
              </w:rPr>
              <w:t>170</w:t>
            </w:r>
          </w:p>
        </w:tc>
        <w:tc>
          <w:tcPr>
            <w:tcW w:w="737" w:type="dxa"/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17</w:t>
            </w:r>
          </w:p>
        </w:tc>
        <w:tc>
          <w:tcPr>
            <w:tcW w:w="737" w:type="dxa"/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18</w:t>
            </w:r>
          </w:p>
        </w:tc>
        <w:tc>
          <w:tcPr>
            <w:tcW w:w="737" w:type="dxa"/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18</w:t>
            </w:r>
          </w:p>
        </w:tc>
        <w:tc>
          <w:tcPr>
            <w:tcW w:w="737" w:type="dxa"/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18,5</w:t>
            </w:r>
          </w:p>
        </w:tc>
        <w:tc>
          <w:tcPr>
            <w:tcW w:w="737" w:type="dxa"/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18,5</w:t>
            </w:r>
          </w:p>
        </w:tc>
        <w:tc>
          <w:tcPr>
            <w:tcW w:w="737" w:type="dxa"/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19</w:t>
            </w:r>
          </w:p>
        </w:tc>
        <w:tc>
          <w:tcPr>
            <w:tcW w:w="737" w:type="dxa"/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19</w:t>
            </w:r>
          </w:p>
        </w:tc>
        <w:tc>
          <w:tcPr>
            <w:tcW w:w="737" w:type="dxa"/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19,5</w:t>
            </w:r>
          </w:p>
        </w:tc>
        <w:tc>
          <w:tcPr>
            <w:tcW w:w="737" w:type="dxa"/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19,5</w:t>
            </w:r>
          </w:p>
        </w:tc>
        <w:tc>
          <w:tcPr>
            <w:tcW w:w="558" w:type="dxa"/>
            <w:vMerge/>
            <w:vAlign w:val="center"/>
            <w:hideMark/>
          </w:tcPr>
          <w:p w:rsidR="00DF021B" w:rsidRPr="00DF021B" w:rsidRDefault="00DF021B" w:rsidP="00DF021B">
            <w:pPr>
              <w:rPr>
                <w:sz w:val="18"/>
                <w:szCs w:val="18"/>
              </w:rPr>
            </w:pPr>
          </w:p>
        </w:tc>
      </w:tr>
      <w:tr w:rsidR="00DF021B" w:rsidRPr="00DF021B" w:rsidTr="00DF021B">
        <w:trPr>
          <w:trHeight w:val="315"/>
        </w:trPr>
        <w:tc>
          <w:tcPr>
            <w:tcW w:w="543" w:type="dxa"/>
            <w:vMerge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36" w:type="dxa"/>
            <w:vMerge/>
            <w:vAlign w:val="center"/>
            <w:hideMark/>
          </w:tcPr>
          <w:p w:rsidR="00DF021B" w:rsidRPr="00DF021B" w:rsidRDefault="00DF021B" w:rsidP="00DF021B">
            <w:pPr>
              <w:rPr>
                <w:sz w:val="18"/>
                <w:szCs w:val="18"/>
              </w:rPr>
            </w:pPr>
          </w:p>
        </w:tc>
        <w:tc>
          <w:tcPr>
            <w:tcW w:w="912" w:type="dxa"/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b/>
                <w:bCs/>
                <w:sz w:val="18"/>
                <w:szCs w:val="18"/>
              </w:rPr>
            </w:pPr>
            <w:r w:rsidRPr="00DF021B">
              <w:rPr>
                <w:b/>
                <w:bCs/>
                <w:sz w:val="18"/>
                <w:szCs w:val="18"/>
              </w:rPr>
              <w:t>176</w:t>
            </w:r>
          </w:p>
        </w:tc>
        <w:tc>
          <w:tcPr>
            <w:tcW w:w="737" w:type="dxa"/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17,5</w:t>
            </w:r>
          </w:p>
        </w:tc>
        <w:tc>
          <w:tcPr>
            <w:tcW w:w="737" w:type="dxa"/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18,5</w:t>
            </w:r>
          </w:p>
        </w:tc>
        <w:tc>
          <w:tcPr>
            <w:tcW w:w="737" w:type="dxa"/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18,5</w:t>
            </w:r>
          </w:p>
        </w:tc>
        <w:tc>
          <w:tcPr>
            <w:tcW w:w="737" w:type="dxa"/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19</w:t>
            </w:r>
          </w:p>
        </w:tc>
        <w:tc>
          <w:tcPr>
            <w:tcW w:w="737" w:type="dxa"/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19</w:t>
            </w:r>
          </w:p>
        </w:tc>
        <w:tc>
          <w:tcPr>
            <w:tcW w:w="737" w:type="dxa"/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19,5</w:t>
            </w:r>
          </w:p>
        </w:tc>
        <w:tc>
          <w:tcPr>
            <w:tcW w:w="737" w:type="dxa"/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19,5</w:t>
            </w:r>
          </w:p>
        </w:tc>
        <w:tc>
          <w:tcPr>
            <w:tcW w:w="737" w:type="dxa"/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20</w:t>
            </w:r>
          </w:p>
        </w:tc>
        <w:tc>
          <w:tcPr>
            <w:tcW w:w="737" w:type="dxa"/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20</w:t>
            </w:r>
          </w:p>
        </w:tc>
        <w:tc>
          <w:tcPr>
            <w:tcW w:w="558" w:type="dxa"/>
            <w:vMerge/>
            <w:vAlign w:val="center"/>
            <w:hideMark/>
          </w:tcPr>
          <w:p w:rsidR="00DF021B" w:rsidRPr="00DF021B" w:rsidRDefault="00DF021B" w:rsidP="00DF021B">
            <w:pPr>
              <w:rPr>
                <w:sz w:val="18"/>
                <w:szCs w:val="18"/>
              </w:rPr>
            </w:pPr>
          </w:p>
        </w:tc>
      </w:tr>
      <w:tr w:rsidR="00DF021B" w:rsidRPr="00DF021B" w:rsidTr="00DF021B">
        <w:trPr>
          <w:trHeight w:val="315"/>
        </w:trPr>
        <w:tc>
          <w:tcPr>
            <w:tcW w:w="543" w:type="dxa"/>
            <w:vMerge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36" w:type="dxa"/>
            <w:vMerge/>
            <w:vAlign w:val="center"/>
            <w:hideMark/>
          </w:tcPr>
          <w:p w:rsidR="00DF021B" w:rsidRPr="00DF021B" w:rsidRDefault="00DF021B" w:rsidP="00DF021B">
            <w:pPr>
              <w:rPr>
                <w:sz w:val="18"/>
                <w:szCs w:val="18"/>
              </w:rPr>
            </w:pPr>
          </w:p>
        </w:tc>
        <w:tc>
          <w:tcPr>
            <w:tcW w:w="912" w:type="dxa"/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b/>
                <w:bCs/>
                <w:sz w:val="18"/>
                <w:szCs w:val="18"/>
              </w:rPr>
            </w:pPr>
            <w:r w:rsidRPr="00DF021B">
              <w:rPr>
                <w:b/>
                <w:bCs/>
                <w:sz w:val="18"/>
                <w:szCs w:val="18"/>
              </w:rPr>
              <w:t>182</w:t>
            </w:r>
          </w:p>
        </w:tc>
        <w:tc>
          <w:tcPr>
            <w:tcW w:w="737" w:type="dxa"/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18</w:t>
            </w:r>
          </w:p>
        </w:tc>
        <w:tc>
          <w:tcPr>
            <w:tcW w:w="737" w:type="dxa"/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19</w:t>
            </w:r>
          </w:p>
        </w:tc>
        <w:tc>
          <w:tcPr>
            <w:tcW w:w="737" w:type="dxa"/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19</w:t>
            </w:r>
          </w:p>
        </w:tc>
        <w:tc>
          <w:tcPr>
            <w:tcW w:w="737" w:type="dxa"/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b/>
                <w:bCs/>
                <w:sz w:val="18"/>
                <w:szCs w:val="18"/>
              </w:rPr>
            </w:pPr>
            <w:r w:rsidRPr="00DF021B">
              <w:rPr>
                <w:b/>
                <w:bCs/>
                <w:sz w:val="18"/>
                <w:szCs w:val="18"/>
              </w:rPr>
              <w:t>19,5</w:t>
            </w:r>
          </w:p>
        </w:tc>
        <w:tc>
          <w:tcPr>
            <w:tcW w:w="737" w:type="dxa"/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19,5</w:t>
            </w:r>
          </w:p>
        </w:tc>
        <w:tc>
          <w:tcPr>
            <w:tcW w:w="737" w:type="dxa"/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20</w:t>
            </w:r>
          </w:p>
        </w:tc>
        <w:tc>
          <w:tcPr>
            <w:tcW w:w="737" w:type="dxa"/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20</w:t>
            </w:r>
          </w:p>
        </w:tc>
        <w:tc>
          <w:tcPr>
            <w:tcW w:w="737" w:type="dxa"/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20,5</w:t>
            </w:r>
          </w:p>
        </w:tc>
        <w:tc>
          <w:tcPr>
            <w:tcW w:w="737" w:type="dxa"/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20,5</w:t>
            </w:r>
          </w:p>
        </w:tc>
        <w:tc>
          <w:tcPr>
            <w:tcW w:w="558" w:type="dxa"/>
            <w:vMerge/>
            <w:vAlign w:val="center"/>
            <w:hideMark/>
          </w:tcPr>
          <w:p w:rsidR="00DF021B" w:rsidRPr="00DF021B" w:rsidRDefault="00DF021B" w:rsidP="00DF021B">
            <w:pPr>
              <w:rPr>
                <w:sz w:val="18"/>
                <w:szCs w:val="18"/>
              </w:rPr>
            </w:pPr>
          </w:p>
        </w:tc>
      </w:tr>
      <w:tr w:rsidR="00DF021B" w:rsidRPr="00DF021B" w:rsidTr="00DF021B">
        <w:trPr>
          <w:trHeight w:val="315"/>
        </w:trPr>
        <w:tc>
          <w:tcPr>
            <w:tcW w:w="543" w:type="dxa"/>
            <w:vMerge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36" w:type="dxa"/>
            <w:vMerge/>
            <w:vAlign w:val="center"/>
            <w:hideMark/>
          </w:tcPr>
          <w:p w:rsidR="00DF021B" w:rsidRPr="00DF021B" w:rsidRDefault="00DF021B" w:rsidP="00DF021B">
            <w:pPr>
              <w:rPr>
                <w:sz w:val="18"/>
                <w:szCs w:val="18"/>
              </w:rPr>
            </w:pPr>
          </w:p>
        </w:tc>
        <w:tc>
          <w:tcPr>
            <w:tcW w:w="912" w:type="dxa"/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b/>
                <w:bCs/>
                <w:sz w:val="18"/>
                <w:szCs w:val="18"/>
              </w:rPr>
            </w:pPr>
            <w:r w:rsidRPr="00DF021B">
              <w:rPr>
                <w:b/>
                <w:bCs/>
                <w:sz w:val="18"/>
                <w:szCs w:val="18"/>
              </w:rPr>
              <w:t>188</w:t>
            </w:r>
          </w:p>
        </w:tc>
        <w:tc>
          <w:tcPr>
            <w:tcW w:w="737" w:type="dxa"/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18</w:t>
            </w:r>
          </w:p>
        </w:tc>
        <w:tc>
          <w:tcPr>
            <w:tcW w:w="737" w:type="dxa"/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19</w:t>
            </w:r>
          </w:p>
        </w:tc>
        <w:tc>
          <w:tcPr>
            <w:tcW w:w="737" w:type="dxa"/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19</w:t>
            </w:r>
          </w:p>
        </w:tc>
        <w:tc>
          <w:tcPr>
            <w:tcW w:w="737" w:type="dxa"/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20</w:t>
            </w:r>
          </w:p>
        </w:tc>
        <w:tc>
          <w:tcPr>
            <w:tcW w:w="737" w:type="dxa"/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20</w:t>
            </w:r>
          </w:p>
        </w:tc>
        <w:tc>
          <w:tcPr>
            <w:tcW w:w="737" w:type="dxa"/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20,5</w:t>
            </w:r>
          </w:p>
        </w:tc>
        <w:tc>
          <w:tcPr>
            <w:tcW w:w="737" w:type="dxa"/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20,5</w:t>
            </w:r>
          </w:p>
        </w:tc>
        <w:tc>
          <w:tcPr>
            <w:tcW w:w="737" w:type="dxa"/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21</w:t>
            </w:r>
          </w:p>
        </w:tc>
        <w:tc>
          <w:tcPr>
            <w:tcW w:w="737" w:type="dxa"/>
            <w:noWrap/>
            <w:vAlign w:val="center"/>
            <w:hideMark/>
          </w:tcPr>
          <w:p w:rsidR="00DF021B" w:rsidRPr="00DF021B" w:rsidRDefault="00DF021B" w:rsidP="00DF021B">
            <w:pPr>
              <w:jc w:val="center"/>
              <w:rPr>
                <w:sz w:val="18"/>
                <w:szCs w:val="18"/>
              </w:rPr>
            </w:pPr>
            <w:r w:rsidRPr="00DF021B">
              <w:rPr>
                <w:sz w:val="18"/>
                <w:szCs w:val="18"/>
              </w:rPr>
              <w:t>21</w:t>
            </w:r>
          </w:p>
        </w:tc>
        <w:tc>
          <w:tcPr>
            <w:tcW w:w="558" w:type="dxa"/>
            <w:vMerge/>
            <w:vAlign w:val="center"/>
            <w:hideMark/>
          </w:tcPr>
          <w:p w:rsidR="00DF021B" w:rsidRPr="00DF021B" w:rsidRDefault="00DF021B" w:rsidP="00DF021B">
            <w:pPr>
              <w:rPr>
                <w:sz w:val="18"/>
                <w:szCs w:val="18"/>
              </w:rPr>
            </w:pPr>
          </w:p>
        </w:tc>
      </w:tr>
    </w:tbl>
    <w:p w:rsidR="00DF021B" w:rsidRPr="00DF021B" w:rsidRDefault="00DF021B" w:rsidP="00245298">
      <w:pPr>
        <w:spacing w:after="0"/>
        <w:rPr>
          <w:sz w:val="18"/>
          <w:szCs w:val="18"/>
        </w:rPr>
      </w:pPr>
      <w:r w:rsidRPr="00DF021B">
        <w:rPr>
          <w:sz w:val="18"/>
          <w:szCs w:val="18"/>
        </w:rPr>
        <w:t xml:space="preserve">Všechny rozměry jsou uvedené v </w:t>
      </w:r>
      <w:r w:rsidRPr="00DF021B">
        <w:rPr>
          <w:b/>
          <w:bCs/>
          <w:sz w:val="18"/>
          <w:szCs w:val="18"/>
        </w:rPr>
        <w:t>cm</w:t>
      </w:r>
      <w:r w:rsidRPr="00DF021B">
        <w:rPr>
          <w:sz w:val="18"/>
          <w:szCs w:val="18"/>
        </w:rPr>
        <w:t xml:space="preserve">; metodika měření dle </w:t>
      </w:r>
      <w:r w:rsidRPr="00DF021B">
        <w:rPr>
          <w:b/>
          <w:bCs/>
          <w:sz w:val="18"/>
          <w:szCs w:val="18"/>
        </w:rPr>
        <w:t>ČSN 80 7040</w:t>
      </w:r>
      <w:r w:rsidRPr="00DF021B">
        <w:rPr>
          <w:sz w:val="18"/>
          <w:szCs w:val="18"/>
        </w:rPr>
        <w:t>;</w:t>
      </w:r>
    </w:p>
    <w:p w:rsidR="003B4598" w:rsidRPr="008F31B3" w:rsidRDefault="003B4598" w:rsidP="003B4598">
      <w:pPr>
        <w:spacing w:after="0"/>
        <w:rPr>
          <w:sz w:val="18"/>
          <w:szCs w:val="18"/>
        </w:rPr>
      </w:pPr>
      <w:r w:rsidRPr="008F31B3">
        <w:rPr>
          <w:sz w:val="18"/>
          <w:szCs w:val="18"/>
        </w:rPr>
        <w:t>/1 - tělesný rozměr</w:t>
      </w:r>
    </w:p>
    <w:p w:rsidR="008F31B3" w:rsidRPr="00DF021B" w:rsidRDefault="003B4598" w:rsidP="00245298">
      <w:pPr>
        <w:spacing w:after="0"/>
        <w:rPr>
          <w:sz w:val="18"/>
          <w:szCs w:val="18"/>
        </w:rPr>
      </w:pPr>
      <w:r>
        <w:rPr>
          <w:sz w:val="18"/>
          <w:szCs w:val="18"/>
        </w:rPr>
        <w:t>/2 - měřeno bez pasového límce</w:t>
      </w:r>
    </w:p>
    <w:sectPr w:rsidR="008F31B3" w:rsidRPr="00DF021B" w:rsidSect="00245298">
      <w:footerReference w:type="default" r:id="rId13"/>
      <w:pgSz w:w="16840" w:h="11900" w:orient="landscape"/>
      <w:pgMar w:top="1418" w:right="1418" w:bottom="1418" w:left="1418" w:header="850" w:footer="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1980" w:rsidRDefault="00901980" w:rsidP="00245298">
      <w:pPr>
        <w:spacing w:after="0" w:line="240" w:lineRule="auto"/>
      </w:pPr>
      <w:r>
        <w:separator/>
      </w:r>
    </w:p>
  </w:endnote>
  <w:endnote w:type="continuationSeparator" w:id="0">
    <w:p w:rsidR="00901980" w:rsidRDefault="00901980" w:rsidP="002452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1980" w:rsidRDefault="00901980">
    <w:pPr>
      <w:spacing w:line="14" w:lineRule="exact"/>
    </w:pPr>
    <w:r>
      <w:rPr>
        <w:noProof/>
        <w:lang w:eastAsia="cs-CZ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2CE2241A" wp14:editId="7A8FC27F">
              <wp:simplePos x="0" y="0"/>
              <wp:positionH relativeFrom="page">
                <wp:posOffset>3011170</wp:posOffset>
              </wp:positionH>
              <wp:positionV relativeFrom="page">
                <wp:posOffset>9443720</wp:posOffset>
              </wp:positionV>
              <wp:extent cx="608330" cy="82550"/>
              <wp:effectExtent l="0" t="0" r="0" b="0"/>
              <wp:wrapNone/>
              <wp:docPr id="11" name="Shap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08330" cy="825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901980" w:rsidRDefault="00901980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t xml:space="preserve">Stranka 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instrText xml:space="preserve"> PAGE \* MERGEFORMAT </w:instrTex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28021D">
                            <w:rPr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8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fldChar w:fldCharType="end"/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t xml:space="preserve">z 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8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CE2241A" id="_x0000_t202" coordsize="21600,21600" o:spt="202" path="m,l,21600r21600,l21600,xe">
              <v:stroke joinstyle="miter"/>
              <v:path gradientshapeok="t" o:connecttype="rect"/>
            </v:shapetype>
            <v:shape id="Shape 11" o:spid="_x0000_s1026" type="#_x0000_t202" style="position:absolute;margin-left:237.1pt;margin-top:743.6pt;width:47.9pt;height:6.5pt;z-index:-25165721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" filled="f" stroked="f">
              <v:textbox style="mso-fit-shape-to-text:t" inset="0,0,0,0">
                <w:txbxContent>
                  <w:p w:rsidR="00901980" w:rsidRDefault="00901980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 xml:space="preserve">Stranka 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fldChar w:fldCharType="begin"/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instrText xml:space="preserve"> PAGE \* MERGEFORMAT </w:instrTex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fldChar w:fldCharType="separate"/>
                    </w:r>
                    <w:r w:rsidR="0028021D">
                      <w:rPr>
                        <w:b/>
                        <w:bCs/>
                        <w:noProof/>
                        <w:sz w:val="16"/>
                        <w:szCs w:val="16"/>
                      </w:rPr>
                      <w:t>8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fldChar w:fldCharType="end"/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 xml:space="preserve">z 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1980" w:rsidRDefault="00901980" w:rsidP="00245298">
      <w:pPr>
        <w:spacing w:after="0" w:line="240" w:lineRule="auto"/>
      </w:pPr>
      <w:r>
        <w:separator/>
      </w:r>
    </w:p>
  </w:footnote>
  <w:footnote w:type="continuationSeparator" w:id="0">
    <w:p w:rsidR="00901980" w:rsidRDefault="00901980" w:rsidP="002452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1980" w:rsidRDefault="00901980" w:rsidP="00877163">
    <w:pPr>
      <w:spacing w:after="0" w:line="240" w:lineRule="auto"/>
      <w:jc w:val="center"/>
    </w:pPr>
    <w:r w:rsidRPr="000A01D0">
      <w:rPr>
        <w:b/>
        <w:lang w:bidi="cs-CZ"/>
      </w:rPr>
      <w:t xml:space="preserve">TECHNICKÁ SPECIFIKACE – </w:t>
    </w:r>
    <w:r>
      <w:rPr>
        <w:b/>
        <w:lang w:bidi="cs-CZ"/>
      </w:rPr>
      <w:t xml:space="preserve">KALHOTY </w:t>
    </w:r>
    <w:r w:rsidRPr="000A01D0">
      <w:rPr>
        <w:b/>
        <w:lang w:bidi="cs-CZ"/>
      </w:rPr>
      <w:t>STEJNOKROJOV</w:t>
    </w:r>
    <w:r>
      <w:rPr>
        <w:b/>
        <w:lang w:bidi="cs-CZ"/>
      </w:rPr>
      <w:t>É PÁNSKÉ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1980" w:rsidRPr="000A01D0" w:rsidRDefault="00901980" w:rsidP="00245298">
    <w:pPr>
      <w:spacing w:after="0" w:line="240" w:lineRule="auto"/>
      <w:jc w:val="center"/>
      <w:rPr>
        <w:b/>
        <w:lang w:bidi="cs-CZ"/>
      </w:rPr>
    </w:pPr>
    <w:r w:rsidRPr="000A01D0">
      <w:rPr>
        <w:b/>
        <w:lang w:bidi="cs-CZ"/>
      </w:rPr>
      <w:t xml:space="preserve">TECHNICKÁ SPECIFIKACE – </w:t>
    </w:r>
    <w:r>
      <w:rPr>
        <w:b/>
        <w:lang w:bidi="cs-CZ"/>
      </w:rPr>
      <w:t>KALHOTY</w:t>
    </w:r>
    <w:r w:rsidRPr="000A01D0">
      <w:rPr>
        <w:b/>
        <w:lang w:bidi="cs-CZ"/>
      </w:rPr>
      <w:t xml:space="preserve"> STEJNOKROJOVÉ </w:t>
    </w:r>
    <w:r>
      <w:rPr>
        <w:b/>
        <w:lang w:bidi="cs-CZ"/>
      </w:rPr>
      <w:t>PÁNSKÉ</w:t>
    </w:r>
  </w:p>
  <w:p w:rsidR="00901980" w:rsidRDefault="0090198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F0A66"/>
    <w:multiLevelType w:val="multilevel"/>
    <w:tmpl w:val="31D292DE"/>
    <w:lvl w:ilvl="0">
      <w:start w:val="1"/>
      <w:numFmt w:val="decimal"/>
      <w:lvlText w:val="%1."/>
      <w:lvlJc w:val="left"/>
      <w:rPr>
        <w:rFonts w:ascii="Calibri" w:hAnsi="Calibr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0"/>
        <w:u w:val="none"/>
        <w:shd w:val="clear" w:color="auto" w:fill="auto"/>
        <w:lang w:val="cs-CZ" w:eastAsia="cs-CZ" w:bidi="cs-CZ"/>
      </w:rPr>
    </w:lvl>
    <w:lvl w:ilvl="1">
      <w:start w:val="1"/>
      <w:numFmt w:val="decimal"/>
      <w:lvlText w:val="%1.%2"/>
      <w:lvlJc w:val="left"/>
      <w:rPr>
        <w:rFonts w:asciiTheme="minorHAnsi" w:eastAsia="Arial" w:hAnsiTheme="minorHAnsi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cs-CZ" w:eastAsia="cs-CZ" w:bidi="cs-CZ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AED5F8D"/>
    <w:multiLevelType w:val="hybridMultilevel"/>
    <w:tmpl w:val="E514D098"/>
    <w:lvl w:ilvl="0" w:tplc="4C500E9C">
      <w:start w:val="4"/>
      <w:numFmt w:val="bullet"/>
      <w:lvlText w:val="-"/>
      <w:lvlJc w:val="left"/>
      <w:pPr>
        <w:ind w:left="1069" w:hanging="360"/>
      </w:pPr>
      <w:rPr>
        <w:rFonts w:ascii="Calibri" w:eastAsia="Times New Roman" w:hAnsi="Calibri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127C53B9"/>
    <w:multiLevelType w:val="hybridMultilevel"/>
    <w:tmpl w:val="B09A8E98"/>
    <w:lvl w:ilvl="0" w:tplc="262006B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BC40F8"/>
    <w:multiLevelType w:val="multilevel"/>
    <w:tmpl w:val="4EDCDA5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5C43F20"/>
    <w:multiLevelType w:val="hybridMultilevel"/>
    <w:tmpl w:val="C8EA694E"/>
    <w:lvl w:ilvl="0" w:tplc="4D22A8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B68087D"/>
    <w:multiLevelType w:val="hybridMultilevel"/>
    <w:tmpl w:val="8D68398A"/>
    <w:lvl w:ilvl="0" w:tplc="262006B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7629EC"/>
    <w:multiLevelType w:val="hybridMultilevel"/>
    <w:tmpl w:val="16AE558E"/>
    <w:lvl w:ilvl="0" w:tplc="262006B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D06600"/>
    <w:multiLevelType w:val="hybridMultilevel"/>
    <w:tmpl w:val="932EF512"/>
    <w:lvl w:ilvl="0" w:tplc="4C500E9C">
      <w:start w:val="4"/>
      <w:numFmt w:val="bullet"/>
      <w:lvlText w:val="-"/>
      <w:lvlJc w:val="left"/>
      <w:pPr>
        <w:ind w:left="1069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3A8B27AE"/>
    <w:multiLevelType w:val="hybridMultilevel"/>
    <w:tmpl w:val="0158F6BA"/>
    <w:lvl w:ilvl="0" w:tplc="262006B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BB2C8E"/>
    <w:multiLevelType w:val="hybridMultilevel"/>
    <w:tmpl w:val="024C70E4"/>
    <w:lvl w:ilvl="0" w:tplc="262006B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1F5C78"/>
    <w:multiLevelType w:val="hybridMultilevel"/>
    <w:tmpl w:val="6212C1F6"/>
    <w:lvl w:ilvl="0" w:tplc="262006B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20776C"/>
    <w:multiLevelType w:val="hybridMultilevel"/>
    <w:tmpl w:val="D00C0668"/>
    <w:lvl w:ilvl="0" w:tplc="4C500E9C">
      <w:start w:val="4"/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6AB3058"/>
    <w:multiLevelType w:val="hybridMultilevel"/>
    <w:tmpl w:val="DF8A5326"/>
    <w:lvl w:ilvl="0" w:tplc="262006B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AB4815"/>
    <w:multiLevelType w:val="hybridMultilevel"/>
    <w:tmpl w:val="024421FA"/>
    <w:lvl w:ilvl="0" w:tplc="4C500E9C">
      <w:start w:val="4"/>
      <w:numFmt w:val="bullet"/>
      <w:lvlText w:val="-"/>
      <w:lvlJc w:val="left"/>
      <w:pPr>
        <w:ind w:left="1069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72F746DB"/>
    <w:multiLevelType w:val="hybridMultilevel"/>
    <w:tmpl w:val="46D26FFA"/>
    <w:lvl w:ilvl="0" w:tplc="AE3A703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47A3F92"/>
    <w:multiLevelType w:val="hybridMultilevel"/>
    <w:tmpl w:val="EA44B3BC"/>
    <w:lvl w:ilvl="0" w:tplc="262006B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063EDA"/>
    <w:multiLevelType w:val="hybridMultilevel"/>
    <w:tmpl w:val="C0BEB0A4"/>
    <w:lvl w:ilvl="0" w:tplc="4C500E9C">
      <w:start w:val="4"/>
      <w:numFmt w:val="bullet"/>
      <w:lvlText w:val="-"/>
      <w:lvlJc w:val="left"/>
      <w:pPr>
        <w:ind w:left="1069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7DE32FC5"/>
    <w:multiLevelType w:val="hybridMultilevel"/>
    <w:tmpl w:val="A1E0B8DA"/>
    <w:lvl w:ilvl="0" w:tplc="ADD66C66">
      <w:start w:val="1"/>
      <w:numFmt w:val="bullet"/>
      <w:lvlText w:val="-"/>
      <w:lvlJc w:val="left"/>
      <w:pPr>
        <w:tabs>
          <w:tab w:val="num" w:pos="340"/>
        </w:tabs>
        <w:ind w:left="340" w:hanging="340"/>
      </w:p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9"/>
  </w:num>
  <w:num w:numId="5">
    <w:abstractNumId w:val="10"/>
  </w:num>
  <w:num w:numId="6">
    <w:abstractNumId w:val="8"/>
  </w:num>
  <w:num w:numId="7">
    <w:abstractNumId w:val="2"/>
  </w:num>
  <w:num w:numId="8">
    <w:abstractNumId w:val="15"/>
  </w:num>
  <w:num w:numId="9">
    <w:abstractNumId w:val="12"/>
  </w:num>
  <w:num w:numId="10">
    <w:abstractNumId w:val="17"/>
  </w:num>
  <w:num w:numId="11">
    <w:abstractNumId w:val="11"/>
  </w:num>
  <w:num w:numId="12">
    <w:abstractNumId w:val="3"/>
  </w:num>
  <w:num w:numId="13">
    <w:abstractNumId w:val="14"/>
  </w:num>
  <w:num w:numId="14">
    <w:abstractNumId w:val="16"/>
  </w:num>
  <w:num w:numId="15">
    <w:abstractNumId w:val="13"/>
  </w:num>
  <w:num w:numId="16">
    <w:abstractNumId w:val="4"/>
  </w:num>
  <w:num w:numId="17">
    <w:abstractNumId w:val="7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5298"/>
    <w:rsid w:val="00056C00"/>
    <w:rsid w:val="000A13C5"/>
    <w:rsid w:val="001C0A4C"/>
    <w:rsid w:val="002125AB"/>
    <w:rsid w:val="002168B9"/>
    <w:rsid w:val="00245298"/>
    <w:rsid w:val="0028021D"/>
    <w:rsid w:val="002A5E82"/>
    <w:rsid w:val="002D62B2"/>
    <w:rsid w:val="003452FF"/>
    <w:rsid w:val="00383864"/>
    <w:rsid w:val="003B4598"/>
    <w:rsid w:val="003D7D51"/>
    <w:rsid w:val="00433B2A"/>
    <w:rsid w:val="00441ED8"/>
    <w:rsid w:val="00463422"/>
    <w:rsid w:val="004E5A57"/>
    <w:rsid w:val="004F3D6D"/>
    <w:rsid w:val="00523FB8"/>
    <w:rsid w:val="00550276"/>
    <w:rsid w:val="00607AB9"/>
    <w:rsid w:val="006E5AED"/>
    <w:rsid w:val="007655ED"/>
    <w:rsid w:val="00793DA2"/>
    <w:rsid w:val="007C3144"/>
    <w:rsid w:val="007D46A7"/>
    <w:rsid w:val="007E5D5C"/>
    <w:rsid w:val="00877163"/>
    <w:rsid w:val="008923B5"/>
    <w:rsid w:val="008A6227"/>
    <w:rsid w:val="008B5CE8"/>
    <w:rsid w:val="008D4275"/>
    <w:rsid w:val="008F31B3"/>
    <w:rsid w:val="00901980"/>
    <w:rsid w:val="00937ED8"/>
    <w:rsid w:val="00A652E9"/>
    <w:rsid w:val="00AC6A5F"/>
    <w:rsid w:val="00AD4FE6"/>
    <w:rsid w:val="00BA1E13"/>
    <w:rsid w:val="00C12C41"/>
    <w:rsid w:val="00C12CEC"/>
    <w:rsid w:val="00C42385"/>
    <w:rsid w:val="00C72D56"/>
    <w:rsid w:val="00C84E87"/>
    <w:rsid w:val="00CB6A19"/>
    <w:rsid w:val="00D4717D"/>
    <w:rsid w:val="00D83DC2"/>
    <w:rsid w:val="00DE783E"/>
    <w:rsid w:val="00DF021B"/>
    <w:rsid w:val="00E21790"/>
    <w:rsid w:val="00E54134"/>
    <w:rsid w:val="00EB7BF3"/>
    <w:rsid w:val="00EF0261"/>
    <w:rsid w:val="00F259D9"/>
    <w:rsid w:val="00FC1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E705CB8"/>
  <w15:chartTrackingRefBased/>
  <w15:docId w15:val="{83052D06-AF40-436E-B882-2C9D8B92C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2452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2452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45298"/>
  </w:style>
  <w:style w:type="paragraph" w:styleId="Zpat">
    <w:name w:val="footer"/>
    <w:basedOn w:val="Normln"/>
    <w:link w:val="ZpatChar"/>
    <w:uiPriority w:val="99"/>
    <w:unhideWhenUsed/>
    <w:rsid w:val="002452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45298"/>
  </w:style>
  <w:style w:type="paragraph" w:styleId="Odstavecseseznamem">
    <w:name w:val="List Paragraph"/>
    <w:basedOn w:val="Normln"/>
    <w:uiPriority w:val="34"/>
    <w:qFormat/>
    <w:rsid w:val="00DE78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905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9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4D09C0-604D-4285-B1A3-94357E541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8</Pages>
  <Words>1696</Words>
  <Characters>10011</Characters>
  <Application>Microsoft Office Word</Application>
  <DocSecurity>0</DocSecurity>
  <Lines>83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3</cp:revision>
  <dcterms:created xsi:type="dcterms:W3CDTF">2019-07-10T08:51:00Z</dcterms:created>
  <dcterms:modified xsi:type="dcterms:W3CDTF">2019-08-06T09:18:00Z</dcterms:modified>
</cp:coreProperties>
</file>